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E4D" w:rsidRDefault="00C26E4D" w:rsidP="00C26E4D">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1360170</wp:posOffset>
                </wp:positionH>
                <wp:positionV relativeFrom="paragraph">
                  <wp:posOffset>-262890</wp:posOffset>
                </wp:positionV>
                <wp:extent cx="3200400" cy="949325"/>
                <wp:effectExtent l="0" t="0" r="12700" b="15875"/>
                <wp:wrapNone/>
                <wp:docPr id="1" name="Rectangle 1"/>
                <wp:cNvGraphicFramePr/>
                <a:graphic xmlns:a="http://schemas.openxmlformats.org/drawingml/2006/main">
                  <a:graphicData uri="http://schemas.microsoft.com/office/word/2010/wordprocessingShape">
                    <wps:wsp>
                      <wps:cNvSpPr/>
                      <wps:spPr>
                        <a:xfrm>
                          <a:off x="0" y="0"/>
                          <a:ext cx="3200400" cy="949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91EB89" id="Rectangle 1" o:spid="_x0000_s1026" style="position:absolute;margin-left:107.1pt;margin-top:-20.7pt;width:252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iBdwIAAEQ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" filled="f" strokecolor="#1f3763 [1604]" strokeweight="1pt"/>
            </w:pict>
          </mc:Fallback>
        </mc:AlternateContent>
      </w:r>
      <w:r w:rsidR="00651735">
        <w:t xml:space="preserve">2019-2020 </w:t>
      </w:r>
      <w:r>
        <w:t>NJCU Senate C&amp;I Committee</w:t>
      </w:r>
    </w:p>
    <w:p w:rsidR="00C26E4D" w:rsidRDefault="00651735" w:rsidP="00C26E4D">
      <w:pPr>
        <w:jc w:val="center"/>
      </w:pPr>
      <w:r>
        <w:t>September 23</w:t>
      </w:r>
      <w:r w:rsidR="002D51D9">
        <w:t>, 2019</w:t>
      </w:r>
      <w:r w:rsidR="00C26E4D">
        <w:t xml:space="preserve"> Report </w:t>
      </w:r>
    </w:p>
    <w:p w:rsidR="00C26E4D" w:rsidRDefault="00C26E4D" w:rsidP="00C26E4D">
      <w:pPr>
        <w:jc w:val="center"/>
      </w:pPr>
    </w:p>
    <w:p w:rsidR="00C26E4D" w:rsidRDefault="00166B59" w:rsidP="00166B5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Michael Rotenberg-Schwartz, Chair</w:t>
      </w:r>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Dr. Pablo Garofalo</w:t>
      </w:r>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Dr. Graig Klein</w:t>
      </w:r>
    </w:p>
    <w:p w:rsidR="00651735" w:rsidRDefault="0065173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Joseph Moskowitz</w:t>
      </w:r>
    </w:p>
    <w:p w:rsidR="002D51D9" w:rsidRDefault="004B5DE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Ms</w:t>
      </w:r>
      <w:r w:rsidR="00651735">
        <w:rPr>
          <w:rFonts w:ascii="Times New Roman" w:hAnsi="Times New Roman" w:cs="Times New Roman"/>
          <w:sz w:val="24"/>
          <w:szCs w:val="24"/>
        </w:rPr>
        <w:t>. Ruth Ortiz</w:t>
      </w:r>
    </w:p>
    <w:p w:rsidR="00EB0DFA" w:rsidRDefault="00C26E4D" w:rsidP="0065173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Dr. </w:t>
      </w:r>
      <w:r w:rsidR="00651735">
        <w:rPr>
          <w:rFonts w:ascii="Times New Roman" w:hAnsi="Times New Roman" w:cs="Times New Roman"/>
          <w:sz w:val="24"/>
          <w:szCs w:val="24"/>
        </w:rPr>
        <w:t>Lilliam Rosado</w:t>
      </w:r>
    </w:p>
    <w:p w:rsidR="00B03238" w:rsidRPr="00651735" w:rsidRDefault="00B03238" w:rsidP="00651735">
      <w:pPr>
        <w:spacing w:after="0" w:line="240" w:lineRule="auto"/>
        <w:rPr>
          <w:rFonts w:ascii="Times New Roman" w:hAnsi="Times New Roman" w:cs="Times New Roman"/>
          <w:sz w:val="24"/>
          <w:szCs w:val="24"/>
        </w:rPr>
      </w:pPr>
    </w:p>
    <w:p w:rsidR="00B03238" w:rsidRDefault="00B03238" w:rsidP="00F03D46">
      <w:pPr>
        <w:ind w:left="360"/>
        <w:rPr>
          <w:color w:val="000000" w:themeColor="text1"/>
        </w:rPr>
      </w:pPr>
      <w:r>
        <w:rPr>
          <w:color w:val="000000" w:themeColor="text1"/>
        </w:rPr>
        <w:t>I. The committee</w:t>
      </w:r>
      <w:r w:rsidR="00CB09A1">
        <w:rPr>
          <w:color w:val="000000" w:themeColor="text1"/>
        </w:rPr>
        <w:t xml:space="preserve"> as newly comprised last May inherited a lot of proposals already on the 30-day clock. A few came due just as Spring 2019 ended. Others came due within the first 2 weeks of the current semester. Consequently, the Committee has felt overly rushed and unable to conduct the kind of oversight required for its work. We have approved, out of necessity, all of the proposals that came due before or on September 11—almost all of these proposals, though, are approved contingent on minor edits.</w:t>
      </w:r>
    </w:p>
    <w:p w:rsidR="00CB09A1" w:rsidRDefault="00CB09A1" w:rsidP="00F03D46">
      <w:pPr>
        <w:ind w:left="360"/>
        <w:rPr>
          <w:color w:val="000000" w:themeColor="text1"/>
        </w:rPr>
      </w:pPr>
      <w:r>
        <w:rPr>
          <w:color w:val="000000" w:themeColor="text1"/>
        </w:rPr>
        <w:t>We suspect C&amp;I committees in the future will consistently face this problem of timing. Therefore we are proposing this amendment to the 30-day resolution passed last year:</w:t>
      </w:r>
    </w:p>
    <w:p w:rsidR="00CB09A1" w:rsidRPr="00CB09A1" w:rsidRDefault="00CB09A1" w:rsidP="00CB09A1">
      <w:pPr>
        <w:spacing w:after="0" w:line="240" w:lineRule="auto"/>
        <w:ind w:left="720"/>
        <w:rPr>
          <w:rFonts w:ascii="Times New Roman" w:eastAsia="Times New Roman" w:hAnsi="Times New Roman" w:cs="Times New Roman"/>
          <w:color w:val="000000"/>
          <w:sz w:val="24"/>
          <w:szCs w:val="24"/>
        </w:rPr>
      </w:pPr>
      <w:r w:rsidRPr="00CB09A1">
        <w:rPr>
          <w:rFonts w:ascii="Times New Roman" w:eastAsia="Times New Roman" w:hAnsi="Times New Roman" w:cs="Times New Roman"/>
          <w:color w:val="000000"/>
          <w:sz w:val="24"/>
          <w:szCs w:val="24"/>
        </w:rPr>
        <w:t>“a. The University Senate hereby amends the policy adopted in October 2018 regarding the length of time Senate Committees have to respond to and take actions on all proposals they receive from to 30 days to 60 days.</w:t>
      </w:r>
    </w:p>
    <w:p w:rsidR="00CB09A1" w:rsidRPr="00CB09A1" w:rsidRDefault="00CB09A1" w:rsidP="00CB09A1">
      <w:pPr>
        <w:spacing w:after="0" w:line="240" w:lineRule="auto"/>
        <w:ind w:left="720"/>
        <w:rPr>
          <w:rFonts w:ascii="Times New Roman" w:eastAsia="Times New Roman" w:hAnsi="Times New Roman" w:cs="Times New Roman"/>
          <w:color w:val="000000"/>
          <w:sz w:val="24"/>
          <w:szCs w:val="24"/>
        </w:rPr>
      </w:pPr>
      <w:r w:rsidRPr="00CB09A1">
        <w:rPr>
          <w:rFonts w:ascii="Times New Roman" w:eastAsia="Times New Roman" w:hAnsi="Times New Roman" w:cs="Times New Roman"/>
          <w:color w:val="000000"/>
          <w:sz w:val="24"/>
          <w:szCs w:val="24"/>
        </w:rPr>
        <w:t> </w:t>
      </w:r>
    </w:p>
    <w:p w:rsidR="00CB09A1" w:rsidRPr="00CB09A1" w:rsidRDefault="00CB09A1" w:rsidP="00CB09A1">
      <w:pPr>
        <w:spacing w:after="0" w:line="240" w:lineRule="auto"/>
        <w:ind w:left="720"/>
        <w:rPr>
          <w:rFonts w:ascii="Times New Roman" w:eastAsia="Times New Roman" w:hAnsi="Times New Roman" w:cs="Times New Roman"/>
          <w:color w:val="000000"/>
          <w:sz w:val="24"/>
          <w:szCs w:val="24"/>
        </w:rPr>
      </w:pPr>
      <w:r w:rsidRPr="00CB09A1">
        <w:rPr>
          <w:rFonts w:ascii="Times New Roman" w:eastAsia="Times New Roman" w:hAnsi="Times New Roman" w:cs="Times New Roman"/>
          <w:color w:val="000000"/>
          <w:sz w:val="24"/>
          <w:szCs w:val="24"/>
        </w:rPr>
        <w:t>b.  Each reference  to “30 days” will be changes to “60 days” in both the October 2018 resolution and  the policy explanation presented at the March 2019 Senate meeting.  </w:t>
      </w:r>
    </w:p>
    <w:p w:rsidR="00CB09A1" w:rsidRPr="00CB09A1" w:rsidRDefault="00CB09A1" w:rsidP="00CB09A1">
      <w:pPr>
        <w:spacing w:after="0" w:line="240" w:lineRule="auto"/>
        <w:ind w:left="720"/>
        <w:rPr>
          <w:rFonts w:ascii="Times New Roman" w:eastAsia="Times New Roman" w:hAnsi="Times New Roman" w:cs="Times New Roman"/>
          <w:color w:val="000000"/>
          <w:sz w:val="24"/>
          <w:szCs w:val="24"/>
        </w:rPr>
      </w:pPr>
      <w:r w:rsidRPr="00CB09A1">
        <w:rPr>
          <w:rFonts w:ascii="Times New Roman" w:eastAsia="Times New Roman" w:hAnsi="Times New Roman" w:cs="Times New Roman"/>
          <w:color w:val="000000"/>
          <w:sz w:val="24"/>
          <w:szCs w:val="24"/>
        </w:rPr>
        <w:t> </w:t>
      </w:r>
    </w:p>
    <w:p w:rsidR="00CB09A1" w:rsidRPr="00CB09A1" w:rsidRDefault="00CB09A1" w:rsidP="00CB09A1">
      <w:pPr>
        <w:spacing w:after="0" w:line="240" w:lineRule="auto"/>
        <w:ind w:left="720"/>
        <w:rPr>
          <w:rFonts w:ascii="Times New Roman" w:eastAsia="Times New Roman" w:hAnsi="Times New Roman" w:cs="Times New Roman"/>
          <w:color w:val="000000"/>
          <w:sz w:val="24"/>
          <w:szCs w:val="24"/>
        </w:rPr>
      </w:pPr>
      <w:r w:rsidRPr="00CB09A1">
        <w:rPr>
          <w:rFonts w:ascii="Times New Roman" w:eastAsia="Times New Roman" w:hAnsi="Times New Roman" w:cs="Times New Roman"/>
          <w:color w:val="000000"/>
          <w:sz w:val="24"/>
          <w:szCs w:val="24"/>
        </w:rPr>
        <w:t>c. The remainder of the policy and explanation remain in effect.</w:t>
      </w:r>
    </w:p>
    <w:p w:rsidR="00CB09A1" w:rsidRPr="00CB09A1" w:rsidRDefault="00CB09A1" w:rsidP="00CB09A1">
      <w:pPr>
        <w:spacing w:after="0" w:line="240" w:lineRule="auto"/>
        <w:ind w:left="720"/>
        <w:rPr>
          <w:rFonts w:ascii="Times New Roman" w:eastAsia="Times New Roman" w:hAnsi="Times New Roman" w:cs="Times New Roman"/>
          <w:color w:val="000000"/>
          <w:sz w:val="24"/>
          <w:szCs w:val="24"/>
        </w:rPr>
      </w:pPr>
      <w:r w:rsidRPr="00CB09A1">
        <w:rPr>
          <w:rFonts w:ascii="Times New Roman" w:eastAsia="Times New Roman" w:hAnsi="Times New Roman" w:cs="Times New Roman"/>
          <w:color w:val="000000"/>
          <w:sz w:val="24"/>
          <w:szCs w:val="24"/>
        </w:rPr>
        <w:t> </w:t>
      </w:r>
    </w:p>
    <w:p w:rsidR="00CB09A1" w:rsidRPr="00CB09A1" w:rsidRDefault="00CB09A1" w:rsidP="00CB09A1">
      <w:pPr>
        <w:spacing w:after="0" w:line="240" w:lineRule="auto"/>
        <w:ind w:left="720"/>
        <w:rPr>
          <w:rFonts w:ascii="Times New Roman" w:eastAsia="Times New Roman" w:hAnsi="Times New Roman" w:cs="Times New Roman"/>
          <w:color w:val="000000"/>
          <w:sz w:val="24"/>
          <w:szCs w:val="24"/>
        </w:rPr>
      </w:pPr>
      <w:r w:rsidRPr="00CB09A1">
        <w:rPr>
          <w:rFonts w:ascii="Times New Roman" w:eastAsia="Times New Roman" w:hAnsi="Times New Roman" w:cs="Times New Roman"/>
          <w:color w:val="000000"/>
          <w:sz w:val="24"/>
          <w:szCs w:val="24"/>
        </w:rPr>
        <w:t>d. This amendment will be effective immediate on approval by the University Senate. “  </w:t>
      </w:r>
    </w:p>
    <w:p w:rsidR="00B03238" w:rsidRDefault="00B03238" w:rsidP="00CB09A1">
      <w:pPr>
        <w:rPr>
          <w:color w:val="000000" w:themeColor="text1"/>
        </w:rPr>
      </w:pPr>
    </w:p>
    <w:p w:rsidR="00F03D46" w:rsidRDefault="00F03D46" w:rsidP="00F03D46">
      <w:pPr>
        <w:ind w:left="360"/>
        <w:rPr>
          <w:color w:val="000000" w:themeColor="text1"/>
        </w:rPr>
      </w:pPr>
      <w:r>
        <w:rPr>
          <w:color w:val="000000" w:themeColor="text1"/>
        </w:rPr>
        <w:t>I</w:t>
      </w:r>
      <w:r w:rsidR="00B03238">
        <w:rPr>
          <w:color w:val="000000" w:themeColor="text1"/>
        </w:rPr>
        <w:t>I</w:t>
      </w:r>
      <w:r>
        <w:rPr>
          <w:color w:val="000000" w:themeColor="text1"/>
        </w:rPr>
        <w:t>. The committee approved the revision and renaming of the Minor in International Studies to the Minor in Global Studies:</w:t>
      </w:r>
    </w:p>
    <w:tbl>
      <w:tblPr>
        <w:tblStyle w:val="TableGrid"/>
        <w:tblW w:w="0" w:type="auto"/>
        <w:tblInd w:w="0" w:type="dxa"/>
        <w:tblLook w:val="04A0" w:firstRow="1" w:lastRow="0" w:firstColumn="1" w:lastColumn="0" w:noHBand="0" w:noVBand="1"/>
      </w:tblPr>
      <w:tblGrid>
        <w:gridCol w:w="3627"/>
        <w:gridCol w:w="5723"/>
      </w:tblGrid>
      <w:tr w:rsidR="00F03D46" w:rsidTr="00EF6616">
        <w:tc>
          <w:tcPr>
            <w:tcW w:w="3627" w:type="dxa"/>
            <w:tcBorders>
              <w:top w:val="single" w:sz="4" w:space="0" w:color="auto"/>
              <w:left w:val="single" w:sz="4" w:space="0" w:color="auto"/>
              <w:bottom w:val="single" w:sz="4" w:space="0" w:color="auto"/>
              <w:right w:val="single" w:sz="4" w:space="0" w:color="auto"/>
            </w:tcBorders>
            <w:hideMark/>
          </w:tcPr>
          <w:p w:rsidR="00F03D46" w:rsidRPr="00CE3127" w:rsidRDefault="00F03D46" w:rsidP="00EF6616">
            <w:pPr>
              <w:spacing w:after="0" w:line="240" w:lineRule="auto"/>
              <w:rPr>
                <w:color w:val="000000" w:themeColor="text1"/>
              </w:rPr>
            </w:pPr>
            <w:r w:rsidRPr="00CE3127">
              <w:rPr>
                <w:color w:val="000000" w:themeColor="text1"/>
              </w:rPr>
              <w:t>Proposal Initiator</w:t>
            </w:r>
          </w:p>
        </w:tc>
        <w:tc>
          <w:tcPr>
            <w:tcW w:w="5723" w:type="dxa"/>
            <w:tcBorders>
              <w:top w:val="single" w:sz="4" w:space="0" w:color="auto"/>
              <w:left w:val="single" w:sz="4" w:space="0" w:color="auto"/>
              <w:bottom w:val="single" w:sz="4" w:space="0" w:color="auto"/>
              <w:right w:val="single" w:sz="4" w:space="0" w:color="auto"/>
            </w:tcBorders>
            <w:hideMark/>
          </w:tcPr>
          <w:p w:rsidR="00F03D46" w:rsidRDefault="00F03D46" w:rsidP="00EF6616">
            <w:pPr>
              <w:spacing w:after="0" w:line="240" w:lineRule="auto"/>
              <w:rPr>
                <w:rFonts w:cstheme="minorBidi"/>
                <w:color w:val="000000" w:themeColor="text1"/>
              </w:rPr>
            </w:pPr>
            <w:r>
              <w:rPr>
                <w:rFonts w:ascii="Calibri" w:hAnsi="Calibri" w:cstheme="minorBidi"/>
              </w:rPr>
              <w:t>Ning Liao and Joseph Moskowitz</w:t>
            </w:r>
          </w:p>
        </w:tc>
      </w:tr>
      <w:tr w:rsidR="00F03D46" w:rsidTr="00EF6616">
        <w:tc>
          <w:tcPr>
            <w:tcW w:w="3627" w:type="dxa"/>
            <w:tcBorders>
              <w:top w:val="single" w:sz="4" w:space="0" w:color="auto"/>
              <w:left w:val="single" w:sz="4" w:space="0" w:color="auto"/>
              <w:bottom w:val="single" w:sz="4" w:space="0" w:color="auto"/>
              <w:right w:val="single" w:sz="4" w:space="0" w:color="auto"/>
            </w:tcBorders>
            <w:hideMark/>
          </w:tcPr>
          <w:p w:rsidR="00F03D46" w:rsidRDefault="00F03D46" w:rsidP="00EF6616">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F03D46" w:rsidRDefault="00F03D46" w:rsidP="00EF6616">
            <w:pPr>
              <w:spacing w:after="0" w:line="240" w:lineRule="auto"/>
              <w:rPr>
                <w:rFonts w:cstheme="minorBidi"/>
                <w:color w:val="000000" w:themeColor="text1"/>
              </w:rPr>
            </w:pPr>
            <w:r>
              <w:rPr>
                <w:rFonts w:cstheme="minorBidi"/>
                <w:color w:val="000000" w:themeColor="text1"/>
              </w:rPr>
              <w:t>Political Science</w:t>
            </w:r>
          </w:p>
        </w:tc>
      </w:tr>
      <w:tr w:rsidR="00F03D46"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F03D46" w:rsidRDefault="00F03D46" w:rsidP="00EF6616">
            <w:pPr>
              <w:spacing w:after="0" w:line="240" w:lineRule="auto"/>
              <w:rPr>
                <w:rFonts w:cstheme="minorBidi"/>
                <w:color w:val="000000" w:themeColor="text1"/>
              </w:rPr>
            </w:pPr>
            <w:r>
              <w:rPr>
                <w:rFonts w:cstheme="minorBidi"/>
                <w:color w:val="000000" w:themeColor="text1"/>
              </w:rPr>
              <w:t>Program Title</w:t>
            </w:r>
          </w:p>
        </w:tc>
        <w:tc>
          <w:tcPr>
            <w:tcW w:w="5723" w:type="dxa"/>
            <w:tcBorders>
              <w:top w:val="single" w:sz="4" w:space="0" w:color="auto"/>
              <w:left w:val="single" w:sz="4" w:space="0" w:color="auto"/>
              <w:bottom w:val="single" w:sz="4" w:space="0" w:color="auto"/>
              <w:right w:val="single" w:sz="4" w:space="0" w:color="auto"/>
            </w:tcBorders>
            <w:hideMark/>
          </w:tcPr>
          <w:p w:rsidR="00F03D46" w:rsidRPr="00FF017A" w:rsidRDefault="00F03D46" w:rsidP="00EF6616">
            <w:pPr>
              <w:spacing w:after="0" w:line="240" w:lineRule="auto"/>
              <w:rPr>
                <w:rFonts w:eastAsiaTheme="minorEastAsia" w:cstheme="minorBidi"/>
              </w:rPr>
            </w:pPr>
            <w:r>
              <w:rPr>
                <w:rFonts w:eastAsiaTheme="minorEastAsia" w:cstheme="minorBidi"/>
                <w:b/>
              </w:rPr>
              <w:t>Minor in Global Studies</w:t>
            </w:r>
            <w:r w:rsidR="00FF017A">
              <w:rPr>
                <w:rFonts w:eastAsiaTheme="minorEastAsia" w:cstheme="minorBidi"/>
                <w:b/>
              </w:rPr>
              <w:t xml:space="preserve"> </w:t>
            </w:r>
            <w:r w:rsidR="00FF017A">
              <w:rPr>
                <w:rFonts w:eastAsiaTheme="minorEastAsia" w:cstheme="minorBidi"/>
              </w:rPr>
              <w:t>(formerly Minor in International Studies)</w:t>
            </w:r>
          </w:p>
        </w:tc>
      </w:tr>
      <w:tr w:rsidR="00F03D46" w:rsidRPr="00166B59"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F03D46" w:rsidRDefault="00F03D46" w:rsidP="00EF6616">
            <w:pPr>
              <w:spacing w:after="0" w:line="240" w:lineRule="auto"/>
              <w:rPr>
                <w:rFonts w:cstheme="minorBidi"/>
                <w:color w:val="000000" w:themeColor="text1"/>
              </w:rPr>
            </w:pPr>
            <w:r>
              <w:rPr>
                <w:rFonts w:cstheme="minorBidi"/>
                <w:color w:val="000000" w:themeColor="text1"/>
              </w:rPr>
              <w:t>Program Objective</w:t>
            </w:r>
          </w:p>
        </w:tc>
        <w:tc>
          <w:tcPr>
            <w:tcW w:w="5723" w:type="dxa"/>
            <w:tcBorders>
              <w:top w:val="single" w:sz="4" w:space="0" w:color="auto"/>
              <w:left w:val="single" w:sz="4" w:space="0" w:color="auto"/>
              <w:bottom w:val="single" w:sz="4" w:space="0" w:color="auto"/>
              <w:right w:val="single" w:sz="4" w:space="0" w:color="auto"/>
            </w:tcBorders>
            <w:hideMark/>
          </w:tcPr>
          <w:p w:rsidR="00F03D46" w:rsidRPr="00166B59" w:rsidRDefault="00F03D46" w:rsidP="00F03D46">
            <w:pPr>
              <w:spacing w:after="0" w:line="240" w:lineRule="auto"/>
              <w:rPr>
                <w:rFonts w:eastAsiaTheme="minorEastAsia" w:cstheme="minorBidi"/>
              </w:rPr>
            </w:pPr>
            <w:r>
              <w:rPr>
                <w:rFonts w:eastAsiaTheme="minorEastAsia" w:cstheme="minorBidi"/>
              </w:rPr>
              <w:t xml:space="preserve">A minor in Global Studies is designed to engage students in an in-depth examination of major social, political, economic, and cultural trends that shape today’s world. While the Political Science Department offers the foundational course and the Capstone Seminar of this program, courses from </w:t>
            </w:r>
            <w:r>
              <w:rPr>
                <w:rFonts w:eastAsiaTheme="minorEastAsia" w:cstheme="minorBidi"/>
              </w:rPr>
              <w:lastRenderedPageBreak/>
              <w:t>participating departments offer a multidisciplinary range of conceptual tools and methodological skills for students to analyze transnational issues in critical, ethical, and innovative ways. Equipped with a solid empirical grounding to explore the key patterns of current global affairs, students will apply an interdisciplinary approach to investigate the sources, implications, and consequences of a variety of global events. The aim of this program is to enhance students’ appreciation for and understanding of global issues within the context of a diverse, flexible curriculum. The courses also promote their responsible global citizenship through the engagement in civic actions.</w:t>
            </w:r>
          </w:p>
        </w:tc>
      </w:tr>
      <w:tr w:rsidR="00F03D46" w:rsidTr="00EF6616">
        <w:tc>
          <w:tcPr>
            <w:tcW w:w="3627" w:type="dxa"/>
            <w:tcBorders>
              <w:top w:val="single" w:sz="4" w:space="0" w:color="auto"/>
              <w:left w:val="single" w:sz="4" w:space="0" w:color="auto"/>
              <w:bottom w:val="single" w:sz="4" w:space="0" w:color="auto"/>
              <w:right w:val="single" w:sz="4" w:space="0" w:color="auto"/>
            </w:tcBorders>
            <w:hideMark/>
          </w:tcPr>
          <w:p w:rsidR="00F03D46" w:rsidRDefault="00F03D46" w:rsidP="00EF6616">
            <w:pPr>
              <w:spacing w:after="0" w:line="240" w:lineRule="auto"/>
              <w:rPr>
                <w:rFonts w:cstheme="minorBidi"/>
                <w:color w:val="000000" w:themeColor="text1"/>
              </w:rPr>
            </w:pPr>
            <w:r>
              <w:rPr>
                <w:rFonts w:cstheme="minorBidi"/>
                <w:color w:val="000000" w:themeColor="text1"/>
              </w:rPr>
              <w:lastRenderedPageBreak/>
              <w:t>Program Curriculum</w:t>
            </w:r>
          </w:p>
        </w:tc>
        <w:tc>
          <w:tcPr>
            <w:tcW w:w="5723" w:type="dxa"/>
            <w:tcBorders>
              <w:top w:val="single" w:sz="4" w:space="0" w:color="auto"/>
              <w:left w:val="single" w:sz="4" w:space="0" w:color="auto"/>
              <w:bottom w:val="single" w:sz="4" w:space="0" w:color="auto"/>
              <w:right w:val="single" w:sz="4" w:space="0" w:color="auto"/>
            </w:tcBorders>
            <w:hideMark/>
          </w:tcPr>
          <w:p w:rsidR="00F03D46" w:rsidRDefault="00FF017A" w:rsidP="00EF6616">
            <w:pPr>
              <w:spacing w:after="0" w:line="240" w:lineRule="auto"/>
              <w:rPr>
                <w:rFonts w:cstheme="minorBidi"/>
                <w:color w:val="000000" w:themeColor="text1"/>
              </w:rPr>
            </w:pPr>
            <w:r>
              <w:rPr>
                <w:rFonts w:cstheme="minorBidi"/>
                <w:color w:val="000000" w:themeColor="text1"/>
              </w:rPr>
              <w:t>24 credits</w:t>
            </w:r>
          </w:p>
        </w:tc>
      </w:tr>
    </w:tbl>
    <w:p w:rsidR="00F03D46" w:rsidRDefault="00F03D46" w:rsidP="00F03D46">
      <w:pPr>
        <w:ind w:left="360"/>
        <w:rPr>
          <w:color w:val="000000" w:themeColor="text1"/>
        </w:rPr>
      </w:pPr>
      <w:r>
        <w:rPr>
          <w:color w:val="000000" w:themeColor="text1"/>
        </w:rPr>
        <w:tab/>
      </w:r>
    </w:p>
    <w:p w:rsidR="00F03D46" w:rsidRPr="00F03D46" w:rsidRDefault="00F03D46" w:rsidP="00F03D46">
      <w:pPr>
        <w:ind w:left="360"/>
        <w:rPr>
          <w:color w:val="000000" w:themeColor="text1"/>
        </w:rPr>
      </w:pPr>
      <w:r>
        <w:rPr>
          <w:color w:val="000000" w:themeColor="text1"/>
        </w:rPr>
        <w:t>II</w:t>
      </w:r>
      <w:r w:rsidR="00B03238">
        <w:rPr>
          <w:color w:val="000000" w:themeColor="text1"/>
        </w:rPr>
        <w:t>I</w:t>
      </w:r>
      <w:r>
        <w:rPr>
          <w:color w:val="000000" w:themeColor="text1"/>
        </w:rPr>
        <w:t xml:space="preserve">. </w:t>
      </w:r>
      <w:r w:rsidR="00EB0DFA" w:rsidRPr="00F03D46">
        <w:rPr>
          <w:color w:val="000000" w:themeColor="text1"/>
        </w:rPr>
        <w:t>The c</w:t>
      </w:r>
      <w:r w:rsidR="00CE3127" w:rsidRPr="00F03D46">
        <w:rPr>
          <w:color w:val="000000" w:themeColor="text1"/>
        </w:rPr>
        <w:t>ommittee appr</w:t>
      </w:r>
      <w:r w:rsidR="001E6DA8" w:rsidRPr="00F03D46">
        <w:rPr>
          <w:color w:val="000000" w:themeColor="text1"/>
        </w:rPr>
        <w:t xml:space="preserve">oved the </w:t>
      </w:r>
      <w:r w:rsidRPr="00F03D46">
        <w:rPr>
          <w:color w:val="000000" w:themeColor="text1"/>
        </w:rPr>
        <w:t xml:space="preserve">following </w:t>
      </w:r>
      <w:r w:rsidR="001E6DA8" w:rsidRPr="00F03D46">
        <w:rPr>
          <w:color w:val="000000" w:themeColor="text1"/>
        </w:rPr>
        <w:t>program proposal</w:t>
      </w:r>
      <w:r w:rsidRPr="00F03D46">
        <w:rPr>
          <w:color w:val="000000" w:themeColor="text1"/>
        </w:rPr>
        <w:t>s:</w:t>
      </w:r>
    </w:p>
    <w:p w:rsidR="00CE3127" w:rsidRDefault="00F03D46" w:rsidP="00F03D46">
      <w:pPr>
        <w:pStyle w:val="ListParagraph"/>
        <w:ind w:left="1080"/>
        <w:rPr>
          <w:color w:val="000000" w:themeColor="text1"/>
        </w:rPr>
      </w:pPr>
      <w:r>
        <w:rPr>
          <w:color w:val="000000" w:themeColor="text1"/>
        </w:rPr>
        <w:t>1.</w:t>
      </w:r>
      <w:r w:rsidR="001E6DA8">
        <w:rPr>
          <w:color w:val="000000" w:themeColor="text1"/>
        </w:rPr>
        <w:t xml:space="preserve"> BS and Minor in Geographical Information</w:t>
      </w:r>
      <w:r w:rsidR="00CE3127">
        <w:rPr>
          <w:color w:val="000000" w:themeColor="text1"/>
        </w:rPr>
        <w:t xml:space="preserve"> Science</w:t>
      </w:r>
      <w:r w:rsidR="00C26E4D">
        <w:rPr>
          <w:color w:val="000000" w:themeColor="text1"/>
        </w:rPr>
        <w:t>:</w:t>
      </w:r>
    </w:p>
    <w:tbl>
      <w:tblPr>
        <w:tblStyle w:val="TableGrid"/>
        <w:tblW w:w="0" w:type="auto"/>
        <w:tblInd w:w="0" w:type="dxa"/>
        <w:tblLook w:val="04A0" w:firstRow="1" w:lastRow="0" w:firstColumn="1" w:lastColumn="0" w:noHBand="0" w:noVBand="1"/>
      </w:tblPr>
      <w:tblGrid>
        <w:gridCol w:w="3627"/>
        <w:gridCol w:w="5723"/>
      </w:tblGrid>
      <w:tr w:rsidR="00CE3127" w:rsidTr="003512C8">
        <w:tc>
          <w:tcPr>
            <w:tcW w:w="3627" w:type="dxa"/>
            <w:tcBorders>
              <w:top w:val="single" w:sz="4" w:space="0" w:color="auto"/>
              <w:left w:val="single" w:sz="4" w:space="0" w:color="auto"/>
              <w:bottom w:val="single" w:sz="4" w:space="0" w:color="auto"/>
              <w:right w:val="single" w:sz="4" w:space="0" w:color="auto"/>
            </w:tcBorders>
            <w:hideMark/>
          </w:tcPr>
          <w:p w:rsidR="00CE3127" w:rsidRPr="00CE3127" w:rsidRDefault="00CE3127" w:rsidP="00CE3127">
            <w:pPr>
              <w:spacing w:after="0" w:line="240" w:lineRule="auto"/>
              <w:rPr>
                <w:color w:val="000000" w:themeColor="text1"/>
              </w:rPr>
            </w:pPr>
            <w:r w:rsidRPr="00CE3127">
              <w:rPr>
                <w:color w:val="000000" w:themeColor="text1"/>
              </w:rPr>
              <w:t>Proposal Initiator</w:t>
            </w:r>
          </w:p>
        </w:tc>
        <w:tc>
          <w:tcPr>
            <w:tcW w:w="5723" w:type="dxa"/>
            <w:tcBorders>
              <w:top w:val="single" w:sz="4" w:space="0" w:color="auto"/>
              <w:left w:val="single" w:sz="4" w:space="0" w:color="auto"/>
              <w:bottom w:val="single" w:sz="4" w:space="0" w:color="auto"/>
              <w:right w:val="single" w:sz="4" w:space="0" w:color="auto"/>
            </w:tcBorders>
            <w:hideMark/>
          </w:tcPr>
          <w:p w:rsidR="00CE3127" w:rsidRDefault="001E6DA8" w:rsidP="003512C8">
            <w:pPr>
              <w:spacing w:after="0" w:line="240" w:lineRule="auto"/>
              <w:rPr>
                <w:rFonts w:cstheme="minorBidi"/>
                <w:color w:val="000000" w:themeColor="text1"/>
              </w:rPr>
            </w:pPr>
            <w:r>
              <w:rPr>
                <w:rFonts w:ascii="Calibri" w:hAnsi="Calibri" w:cstheme="minorBidi"/>
              </w:rPr>
              <w:t>William Montgomery</w:t>
            </w:r>
          </w:p>
        </w:tc>
      </w:tr>
      <w:tr w:rsidR="00CE3127" w:rsidTr="003512C8">
        <w:tc>
          <w:tcPr>
            <w:tcW w:w="3627" w:type="dxa"/>
            <w:tcBorders>
              <w:top w:val="single" w:sz="4" w:space="0" w:color="auto"/>
              <w:left w:val="single" w:sz="4" w:space="0" w:color="auto"/>
              <w:bottom w:val="single" w:sz="4" w:space="0" w:color="auto"/>
              <w:right w:val="single" w:sz="4" w:space="0" w:color="auto"/>
            </w:tcBorders>
            <w:hideMark/>
          </w:tcPr>
          <w:p w:rsidR="00CE3127" w:rsidRDefault="00CE3127" w:rsidP="003512C8">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E3127" w:rsidRDefault="00CE3127" w:rsidP="003512C8">
            <w:pPr>
              <w:spacing w:after="0" w:line="240" w:lineRule="auto"/>
              <w:rPr>
                <w:rFonts w:cstheme="minorBidi"/>
                <w:color w:val="000000" w:themeColor="text1"/>
              </w:rPr>
            </w:pPr>
            <w:r>
              <w:rPr>
                <w:rFonts w:cstheme="minorBidi"/>
                <w:color w:val="000000" w:themeColor="text1"/>
              </w:rPr>
              <w:t>Department of Finance and Real Estate</w:t>
            </w:r>
          </w:p>
        </w:tc>
      </w:tr>
      <w:tr w:rsidR="00CE3127" w:rsidTr="003512C8">
        <w:trPr>
          <w:trHeight w:val="377"/>
        </w:trPr>
        <w:tc>
          <w:tcPr>
            <w:tcW w:w="3627" w:type="dxa"/>
            <w:tcBorders>
              <w:top w:val="single" w:sz="4" w:space="0" w:color="auto"/>
              <w:left w:val="single" w:sz="4" w:space="0" w:color="auto"/>
              <w:bottom w:val="single" w:sz="4" w:space="0" w:color="auto"/>
              <w:right w:val="single" w:sz="4" w:space="0" w:color="auto"/>
            </w:tcBorders>
            <w:hideMark/>
          </w:tcPr>
          <w:p w:rsidR="00CE3127" w:rsidRDefault="00CE3127" w:rsidP="003512C8">
            <w:pPr>
              <w:spacing w:after="0" w:line="240" w:lineRule="auto"/>
              <w:rPr>
                <w:rFonts w:cstheme="minorBidi"/>
                <w:color w:val="000000" w:themeColor="text1"/>
              </w:rPr>
            </w:pPr>
            <w:r>
              <w:rPr>
                <w:rFonts w:cstheme="minorBidi"/>
                <w:color w:val="000000" w:themeColor="text1"/>
              </w:rPr>
              <w:t>Program Title</w:t>
            </w:r>
          </w:p>
        </w:tc>
        <w:tc>
          <w:tcPr>
            <w:tcW w:w="5723" w:type="dxa"/>
            <w:tcBorders>
              <w:top w:val="single" w:sz="4" w:space="0" w:color="auto"/>
              <w:left w:val="single" w:sz="4" w:space="0" w:color="auto"/>
              <w:bottom w:val="single" w:sz="4" w:space="0" w:color="auto"/>
              <w:right w:val="single" w:sz="4" w:space="0" w:color="auto"/>
            </w:tcBorders>
            <w:hideMark/>
          </w:tcPr>
          <w:p w:rsidR="00CE3127" w:rsidRDefault="001E6DA8" w:rsidP="00CE3127">
            <w:pPr>
              <w:spacing w:after="0" w:line="240" w:lineRule="auto"/>
              <w:rPr>
                <w:rFonts w:eastAsiaTheme="minorEastAsia" w:cstheme="minorBidi"/>
                <w:b/>
              </w:rPr>
            </w:pPr>
            <w:r>
              <w:rPr>
                <w:rFonts w:eastAsiaTheme="minorEastAsia" w:cstheme="minorBidi"/>
                <w:b/>
              </w:rPr>
              <w:t>B.S. and Minor in Geographic Information Science</w:t>
            </w:r>
          </w:p>
        </w:tc>
      </w:tr>
      <w:tr w:rsidR="00CE3127" w:rsidRPr="00166B59" w:rsidTr="003512C8">
        <w:trPr>
          <w:trHeight w:val="377"/>
        </w:trPr>
        <w:tc>
          <w:tcPr>
            <w:tcW w:w="3627" w:type="dxa"/>
            <w:tcBorders>
              <w:top w:val="single" w:sz="4" w:space="0" w:color="auto"/>
              <w:left w:val="single" w:sz="4" w:space="0" w:color="auto"/>
              <w:bottom w:val="single" w:sz="4" w:space="0" w:color="auto"/>
              <w:right w:val="single" w:sz="4" w:space="0" w:color="auto"/>
            </w:tcBorders>
            <w:hideMark/>
          </w:tcPr>
          <w:p w:rsidR="00CE3127" w:rsidRDefault="00CE3127" w:rsidP="003512C8">
            <w:pPr>
              <w:spacing w:after="0" w:line="240" w:lineRule="auto"/>
              <w:rPr>
                <w:rFonts w:cstheme="minorBidi"/>
                <w:color w:val="000000" w:themeColor="text1"/>
              </w:rPr>
            </w:pPr>
            <w:r>
              <w:rPr>
                <w:rFonts w:cstheme="minorBidi"/>
                <w:color w:val="000000" w:themeColor="text1"/>
              </w:rPr>
              <w:t>Program Objective</w:t>
            </w:r>
          </w:p>
        </w:tc>
        <w:tc>
          <w:tcPr>
            <w:tcW w:w="5723" w:type="dxa"/>
            <w:tcBorders>
              <w:top w:val="single" w:sz="4" w:space="0" w:color="auto"/>
              <w:left w:val="single" w:sz="4" w:space="0" w:color="auto"/>
              <w:bottom w:val="single" w:sz="4" w:space="0" w:color="auto"/>
              <w:right w:val="single" w:sz="4" w:space="0" w:color="auto"/>
            </w:tcBorders>
            <w:hideMark/>
          </w:tcPr>
          <w:p w:rsidR="00CE3127" w:rsidRPr="00166B59" w:rsidRDefault="001E6DA8" w:rsidP="00CE3127">
            <w:pPr>
              <w:spacing w:after="0" w:line="240" w:lineRule="auto"/>
              <w:rPr>
                <w:rFonts w:eastAsiaTheme="minorEastAsia" w:cstheme="minorBidi"/>
              </w:rPr>
            </w:pPr>
            <w:r>
              <w:rPr>
                <w:rFonts w:eastAsiaTheme="minorEastAsia" w:cstheme="minorBidi"/>
              </w:rPr>
              <w:t>NJCU’s new GIS curricula will open several high-tech pathways to career improvement. NJCU will offer GIS education to diverse learners who need high-tech skills for success. GIS forms the “geospatial backbone” of a family of Spatial Literacy-related competencies that constitute one of the “Top Ten” fastest-growing disciplines of the 21</w:t>
            </w:r>
            <w:r w:rsidRPr="001E6DA8">
              <w:rPr>
                <w:rFonts w:eastAsiaTheme="minorEastAsia" w:cstheme="minorBidi"/>
                <w:vertAlign w:val="superscript"/>
              </w:rPr>
              <w:t>st</w:t>
            </w:r>
            <w:r>
              <w:rPr>
                <w:rFonts w:eastAsiaTheme="minorEastAsia" w:cstheme="minorBidi"/>
              </w:rPr>
              <w:t xml:space="preserve"> century. GIS is highly inter- and multi-disciplinary, as evidenced by the fact that it is mentioned in IPEDS job designations in both Science and Sociology. Spatial literacy is on the same level as competencies such as quantitative reasoning and communication. Spatial literacy is becoming increasingly utilized in a great many disciplines, including Math, Chemistry, Physics, Biology, Earth &amp; Enviornmental Sciences, Homeland Security, Nursing, Public Health, Criminal Justice, Sociology, Psychology, and Digital Humanities. With increasing GIS usage in so many different disciplines, there is correspondingly high demand for practitioners who utilize and apply GIS technology in all of these fields.</w:t>
            </w:r>
          </w:p>
        </w:tc>
      </w:tr>
      <w:tr w:rsidR="00CE3127" w:rsidTr="003512C8">
        <w:tc>
          <w:tcPr>
            <w:tcW w:w="3627" w:type="dxa"/>
            <w:tcBorders>
              <w:top w:val="single" w:sz="4" w:space="0" w:color="auto"/>
              <w:left w:val="single" w:sz="4" w:space="0" w:color="auto"/>
              <w:bottom w:val="single" w:sz="4" w:space="0" w:color="auto"/>
              <w:right w:val="single" w:sz="4" w:space="0" w:color="auto"/>
            </w:tcBorders>
            <w:hideMark/>
          </w:tcPr>
          <w:p w:rsidR="00CE3127" w:rsidRDefault="00CE3127" w:rsidP="003512C8">
            <w:pPr>
              <w:spacing w:after="0" w:line="240" w:lineRule="auto"/>
              <w:rPr>
                <w:rFonts w:cstheme="minorBidi"/>
                <w:color w:val="000000" w:themeColor="text1"/>
              </w:rPr>
            </w:pPr>
            <w:r>
              <w:rPr>
                <w:rFonts w:cstheme="minorBidi"/>
                <w:color w:val="000000" w:themeColor="text1"/>
              </w:rPr>
              <w:t>Program Curriculum</w:t>
            </w:r>
          </w:p>
        </w:tc>
        <w:tc>
          <w:tcPr>
            <w:tcW w:w="5723" w:type="dxa"/>
            <w:tcBorders>
              <w:top w:val="single" w:sz="4" w:space="0" w:color="auto"/>
              <w:left w:val="single" w:sz="4" w:space="0" w:color="auto"/>
              <w:bottom w:val="single" w:sz="4" w:space="0" w:color="auto"/>
              <w:right w:val="single" w:sz="4" w:space="0" w:color="auto"/>
            </w:tcBorders>
            <w:hideMark/>
          </w:tcPr>
          <w:p w:rsidR="00CE3127" w:rsidRDefault="001E6DA8" w:rsidP="00CE3127">
            <w:pPr>
              <w:spacing w:after="0" w:line="240" w:lineRule="auto"/>
              <w:rPr>
                <w:rFonts w:cstheme="minorBidi"/>
                <w:color w:val="000000" w:themeColor="text1"/>
              </w:rPr>
            </w:pPr>
            <w:r>
              <w:rPr>
                <w:rFonts w:cstheme="minorBidi"/>
                <w:color w:val="000000" w:themeColor="text1"/>
              </w:rPr>
              <w:t>B.S., 42-48 credits; Minor, 18 credits</w:t>
            </w:r>
          </w:p>
        </w:tc>
      </w:tr>
    </w:tbl>
    <w:p w:rsidR="00CE3127" w:rsidRDefault="00CE3127" w:rsidP="00CE3127">
      <w:pPr>
        <w:rPr>
          <w:color w:val="000000" w:themeColor="text1"/>
        </w:rPr>
      </w:pPr>
    </w:p>
    <w:p w:rsidR="00072F52" w:rsidRPr="00072F52" w:rsidRDefault="00F03D46" w:rsidP="00F03D46">
      <w:pPr>
        <w:ind w:firstLine="720"/>
        <w:rPr>
          <w:color w:val="000000" w:themeColor="text1"/>
        </w:rPr>
      </w:pPr>
      <w:r>
        <w:rPr>
          <w:color w:val="000000" w:themeColor="text1"/>
        </w:rPr>
        <w:t>2. I</w:t>
      </w:r>
      <w:r w:rsidR="00072F52">
        <w:rPr>
          <w:color w:val="000000" w:themeColor="text1"/>
        </w:rPr>
        <w:t>nterdisciplinary Minor in Sexuality and Queer Studies:</w:t>
      </w:r>
    </w:p>
    <w:tbl>
      <w:tblPr>
        <w:tblStyle w:val="TableGrid"/>
        <w:tblW w:w="0" w:type="auto"/>
        <w:tblInd w:w="0" w:type="dxa"/>
        <w:tblLook w:val="04A0" w:firstRow="1" w:lastRow="0" w:firstColumn="1" w:lastColumn="0" w:noHBand="0" w:noVBand="1"/>
      </w:tblPr>
      <w:tblGrid>
        <w:gridCol w:w="3627"/>
        <w:gridCol w:w="5723"/>
      </w:tblGrid>
      <w:tr w:rsidR="00072F52" w:rsidTr="00EF6616">
        <w:tc>
          <w:tcPr>
            <w:tcW w:w="3627" w:type="dxa"/>
            <w:tcBorders>
              <w:top w:val="single" w:sz="4" w:space="0" w:color="auto"/>
              <w:left w:val="single" w:sz="4" w:space="0" w:color="auto"/>
              <w:bottom w:val="single" w:sz="4" w:space="0" w:color="auto"/>
              <w:right w:val="single" w:sz="4" w:space="0" w:color="auto"/>
            </w:tcBorders>
            <w:hideMark/>
          </w:tcPr>
          <w:p w:rsidR="00072F52" w:rsidRPr="00CE3127" w:rsidRDefault="00072F52" w:rsidP="00EF6616">
            <w:pPr>
              <w:spacing w:after="0" w:line="240" w:lineRule="auto"/>
              <w:rPr>
                <w:color w:val="000000" w:themeColor="text1"/>
              </w:rPr>
            </w:pPr>
            <w:r w:rsidRPr="00CE3127">
              <w:rPr>
                <w:color w:val="000000" w:themeColor="text1"/>
              </w:rPr>
              <w:t>Proposal Initiator</w:t>
            </w:r>
          </w:p>
        </w:tc>
        <w:tc>
          <w:tcPr>
            <w:tcW w:w="5723" w:type="dxa"/>
            <w:tcBorders>
              <w:top w:val="single" w:sz="4" w:space="0" w:color="auto"/>
              <w:left w:val="single" w:sz="4" w:space="0" w:color="auto"/>
              <w:bottom w:val="single" w:sz="4" w:space="0" w:color="auto"/>
              <w:right w:val="single" w:sz="4" w:space="0" w:color="auto"/>
            </w:tcBorders>
            <w:hideMark/>
          </w:tcPr>
          <w:p w:rsidR="00072F52" w:rsidRDefault="00072F52" w:rsidP="00EF6616">
            <w:pPr>
              <w:spacing w:after="0" w:line="240" w:lineRule="auto"/>
              <w:rPr>
                <w:rFonts w:cstheme="minorBidi"/>
                <w:color w:val="000000" w:themeColor="text1"/>
              </w:rPr>
            </w:pPr>
            <w:r>
              <w:rPr>
                <w:rFonts w:ascii="Calibri" w:hAnsi="Calibri" w:cstheme="minorBidi"/>
              </w:rPr>
              <w:t>Jacqueline Ellis</w:t>
            </w:r>
          </w:p>
        </w:tc>
      </w:tr>
      <w:tr w:rsidR="00072F52" w:rsidTr="00EF6616">
        <w:tc>
          <w:tcPr>
            <w:tcW w:w="3627" w:type="dxa"/>
            <w:tcBorders>
              <w:top w:val="single" w:sz="4" w:space="0" w:color="auto"/>
              <w:left w:val="single" w:sz="4" w:space="0" w:color="auto"/>
              <w:bottom w:val="single" w:sz="4" w:space="0" w:color="auto"/>
              <w:right w:val="single" w:sz="4" w:space="0" w:color="auto"/>
            </w:tcBorders>
            <w:hideMark/>
          </w:tcPr>
          <w:p w:rsidR="00072F52" w:rsidRDefault="00072F52" w:rsidP="00EF6616">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072F52" w:rsidRDefault="00072F52" w:rsidP="00EF6616">
            <w:pPr>
              <w:spacing w:after="0" w:line="240" w:lineRule="auto"/>
              <w:rPr>
                <w:rFonts w:cstheme="minorBidi"/>
                <w:color w:val="000000" w:themeColor="text1"/>
              </w:rPr>
            </w:pPr>
            <w:r>
              <w:rPr>
                <w:rFonts w:cstheme="minorBidi"/>
                <w:color w:val="000000" w:themeColor="text1"/>
              </w:rPr>
              <w:t>Women’s and Gender Studies</w:t>
            </w:r>
          </w:p>
        </w:tc>
      </w:tr>
      <w:tr w:rsidR="00072F52"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072F52" w:rsidRDefault="00072F52" w:rsidP="00EF6616">
            <w:pPr>
              <w:spacing w:after="0" w:line="240" w:lineRule="auto"/>
              <w:rPr>
                <w:rFonts w:cstheme="minorBidi"/>
                <w:color w:val="000000" w:themeColor="text1"/>
              </w:rPr>
            </w:pPr>
            <w:r>
              <w:rPr>
                <w:rFonts w:cstheme="minorBidi"/>
                <w:color w:val="000000" w:themeColor="text1"/>
              </w:rPr>
              <w:lastRenderedPageBreak/>
              <w:t>Program Title</w:t>
            </w:r>
          </w:p>
        </w:tc>
        <w:tc>
          <w:tcPr>
            <w:tcW w:w="5723" w:type="dxa"/>
            <w:tcBorders>
              <w:top w:val="single" w:sz="4" w:space="0" w:color="auto"/>
              <w:left w:val="single" w:sz="4" w:space="0" w:color="auto"/>
              <w:bottom w:val="single" w:sz="4" w:space="0" w:color="auto"/>
              <w:right w:val="single" w:sz="4" w:space="0" w:color="auto"/>
            </w:tcBorders>
            <w:hideMark/>
          </w:tcPr>
          <w:p w:rsidR="00072F52" w:rsidRDefault="00072F52" w:rsidP="00EF6616">
            <w:pPr>
              <w:spacing w:after="0" w:line="240" w:lineRule="auto"/>
              <w:rPr>
                <w:rFonts w:eastAsiaTheme="minorEastAsia" w:cstheme="minorBidi"/>
                <w:b/>
              </w:rPr>
            </w:pPr>
            <w:r>
              <w:rPr>
                <w:rFonts w:eastAsiaTheme="minorEastAsia" w:cstheme="minorBidi"/>
                <w:b/>
              </w:rPr>
              <w:t>Minor in Sexuality and Queer Studies</w:t>
            </w:r>
          </w:p>
        </w:tc>
      </w:tr>
      <w:tr w:rsidR="00072F52" w:rsidRPr="00166B59"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072F52" w:rsidRDefault="00072F52" w:rsidP="00EF6616">
            <w:pPr>
              <w:spacing w:after="0" w:line="240" w:lineRule="auto"/>
              <w:rPr>
                <w:rFonts w:cstheme="minorBidi"/>
                <w:color w:val="000000" w:themeColor="text1"/>
              </w:rPr>
            </w:pPr>
            <w:r>
              <w:rPr>
                <w:rFonts w:cstheme="minorBidi"/>
                <w:color w:val="000000" w:themeColor="text1"/>
              </w:rPr>
              <w:t>Program Objective</w:t>
            </w:r>
          </w:p>
        </w:tc>
        <w:tc>
          <w:tcPr>
            <w:tcW w:w="5723" w:type="dxa"/>
            <w:tcBorders>
              <w:top w:val="single" w:sz="4" w:space="0" w:color="auto"/>
              <w:left w:val="single" w:sz="4" w:space="0" w:color="auto"/>
              <w:bottom w:val="single" w:sz="4" w:space="0" w:color="auto"/>
              <w:right w:val="single" w:sz="4" w:space="0" w:color="auto"/>
            </w:tcBorders>
            <w:hideMark/>
          </w:tcPr>
          <w:p w:rsidR="00072F52" w:rsidRPr="00166B59" w:rsidRDefault="00F03D46" w:rsidP="00EF6616">
            <w:pPr>
              <w:spacing w:after="0" w:line="240" w:lineRule="auto"/>
              <w:rPr>
                <w:rFonts w:eastAsiaTheme="minorEastAsia" w:cstheme="minorBidi"/>
              </w:rPr>
            </w:pPr>
            <w:r>
              <w:rPr>
                <w:rFonts w:eastAsiaTheme="minorEastAsia" w:cstheme="minorBidi"/>
              </w:rPr>
              <w:t>The minor in Sexuality and Queer studies (SQS) centers on the identities and histories of lesbian, gay,, bisexual, transgender, and gender-variant people with a particular focus on urban queer identities. The SQS minor examines how assumptions about sexuality and gender are constructed and emphasizes ways to navigate and resist those assumptions through the application of knowledge in a variety of settings including education, healthcare, the workplace, and community organizations.</w:t>
            </w:r>
          </w:p>
        </w:tc>
      </w:tr>
      <w:tr w:rsidR="00072F52" w:rsidTr="00EF6616">
        <w:tc>
          <w:tcPr>
            <w:tcW w:w="3627" w:type="dxa"/>
            <w:tcBorders>
              <w:top w:val="single" w:sz="4" w:space="0" w:color="auto"/>
              <w:left w:val="single" w:sz="4" w:space="0" w:color="auto"/>
              <w:bottom w:val="single" w:sz="4" w:space="0" w:color="auto"/>
              <w:right w:val="single" w:sz="4" w:space="0" w:color="auto"/>
            </w:tcBorders>
            <w:hideMark/>
          </w:tcPr>
          <w:p w:rsidR="00072F52" w:rsidRDefault="00072F52" w:rsidP="00EF6616">
            <w:pPr>
              <w:spacing w:after="0" w:line="240" w:lineRule="auto"/>
              <w:rPr>
                <w:rFonts w:cstheme="minorBidi"/>
                <w:color w:val="000000" w:themeColor="text1"/>
              </w:rPr>
            </w:pPr>
            <w:r>
              <w:rPr>
                <w:rFonts w:cstheme="minorBidi"/>
                <w:color w:val="000000" w:themeColor="text1"/>
              </w:rPr>
              <w:t>Program Curriculum</w:t>
            </w:r>
          </w:p>
        </w:tc>
        <w:tc>
          <w:tcPr>
            <w:tcW w:w="5723" w:type="dxa"/>
            <w:tcBorders>
              <w:top w:val="single" w:sz="4" w:space="0" w:color="auto"/>
              <w:left w:val="single" w:sz="4" w:space="0" w:color="auto"/>
              <w:bottom w:val="single" w:sz="4" w:space="0" w:color="auto"/>
              <w:right w:val="single" w:sz="4" w:space="0" w:color="auto"/>
            </w:tcBorders>
            <w:hideMark/>
          </w:tcPr>
          <w:p w:rsidR="00072F52" w:rsidRDefault="00072F52" w:rsidP="00EF6616">
            <w:pPr>
              <w:spacing w:after="0" w:line="240" w:lineRule="auto"/>
              <w:rPr>
                <w:rFonts w:cstheme="minorBidi"/>
                <w:color w:val="000000" w:themeColor="text1"/>
              </w:rPr>
            </w:pPr>
            <w:r>
              <w:rPr>
                <w:rFonts w:cstheme="minorBidi"/>
                <w:color w:val="000000" w:themeColor="text1"/>
              </w:rPr>
              <w:t>18 credits</w:t>
            </w:r>
          </w:p>
        </w:tc>
      </w:tr>
    </w:tbl>
    <w:p w:rsidR="00072F52" w:rsidRPr="00CE3127" w:rsidRDefault="00072F52" w:rsidP="00CE3127">
      <w:pPr>
        <w:rPr>
          <w:color w:val="000000" w:themeColor="text1"/>
        </w:rPr>
      </w:pPr>
    </w:p>
    <w:p w:rsidR="00C26E4D" w:rsidRPr="00F03D46" w:rsidRDefault="00B03238" w:rsidP="00F03D46">
      <w:pPr>
        <w:ind w:left="360"/>
        <w:rPr>
          <w:color w:val="000000" w:themeColor="text1"/>
        </w:rPr>
      </w:pPr>
      <w:r>
        <w:rPr>
          <w:color w:val="000000" w:themeColor="text1"/>
        </w:rPr>
        <w:t>IV</w:t>
      </w:r>
      <w:r w:rsidR="00F03D46">
        <w:rPr>
          <w:color w:val="000000" w:themeColor="text1"/>
        </w:rPr>
        <w:t xml:space="preserve">. </w:t>
      </w:r>
      <w:r w:rsidR="00655802" w:rsidRPr="00F03D46">
        <w:rPr>
          <w:color w:val="000000" w:themeColor="text1"/>
        </w:rPr>
        <w:t>The committee approved the following course proposals</w:t>
      </w:r>
      <w:r w:rsidR="00F03D46" w:rsidRPr="00F03D46">
        <w:rPr>
          <w:color w:val="000000" w:themeColor="text1"/>
        </w:rPr>
        <w:t xml:space="preserve"> pending minor edits</w:t>
      </w:r>
      <w:r w:rsidR="00655802" w:rsidRPr="00F03D46">
        <w:rPr>
          <w:color w:val="000000" w:themeColor="text1"/>
        </w:rPr>
        <w:t>:</w:t>
      </w:r>
    </w:p>
    <w:p w:rsidR="002D51D9" w:rsidRPr="002D51D9" w:rsidRDefault="002D51D9" w:rsidP="002D51D9">
      <w:pPr>
        <w:pStyle w:val="ListParagraph"/>
        <w:ind w:left="1080"/>
        <w:rPr>
          <w:color w:val="000000" w:themeColor="text1"/>
        </w:rPr>
      </w:pPr>
      <w:r>
        <w:rPr>
          <w:color w:val="000000" w:themeColor="text1"/>
        </w:rPr>
        <w:t>1.</w:t>
      </w:r>
    </w:p>
    <w:tbl>
      <w:tblPr>
        <w:tblStyle w:val="TableGrid"/>
        <w:tblW w:w="0" w:type="auto"/>
        <w:tblInd w:w="0" w:type="dxa"/>
        <w:tblLook w:val="04A0" w:firstRow="1" w:lastRow="0" w:firstColumn="1" w:lastColumn="0" w:noHBand="0" w:noVBand="1"/>
      </w:tblPr>
      <w:tblGrid>
        <w:gridCol w:w="3627"/>
        <w:gridCol w:w="5723"/>
      </w:tblGrid>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14B04" w:rsidP="00166B59">
            <w:pPr>
              <w:spacing w:after="0" w:line="240" w:lineRule="auto"/>
              <w:rPr>
                <w:rFonts w:cstheme="minorBidi"/>
                <w:color w:val="000000" w:themeColor="text1"/>
              </w:rPr>
            </w:pPr>
            <w:r>
              <w:rPr>
                <w:rFonts w:ascii="Calibri" w:hAnsi="Calibri" w:cstheme="minorBidi"/>
              </w:rPr>
              <w:t>Ning Liao</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14B04">
            <w:pPr>
              <w:spacing w:after="0" w:line="240" w:lineRule="auto"/>
              <w:rPr>
                <w:rFonts w:cstheme="minorBidi"/>
                <w:color w:val="000000" w:themeColor="text1"/>
              </w:rPr>
            </w:pPr>
            <w:r>
              <w:rPr>
                <w:rFonts w:cstheme="minorBidi"/>
                <w:color w:val="000000" w:themeColor="text1"/>
              </w:rPr>
              <w:t>Political Science</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14B04" w:rsidP="00514B04">
            <w:pPr>
              <w:spacing w:after="0" w:line="240" w:lineRule="auto"/>
              <w:rPr>
                <w:rFonts w:eastAsiaTheme="minorEastAsia" w:cstheme="minorBidi"/>
                <w:b/>
              </w:rPr>
            </w:pPr>
            <w:r>
              <w:rPr>
                <w:rFonts w:eastAsiaTheme="minorEastAsia" w:cstheme="minorBidi"/>
                <w:b/>
              </w:rPr>
              <w:t>Capstone Seminar of Global Studies</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26E4D" w:rsidRPr="00166B59" w:rsidRDefault="00514B04" w:rsidP="00514B04">
            <w:pPr>
              <w:spacing w:after="0" w:line="240" w:lineRule="auto"/>
              <w:rPr>
                <w:rFonts w:eastAsiaTheme="minorEastAsia" w:cstheme="minorBidi"/>
              </w:rPr>
            </w:pPr>
            <w:r>
              <w:rPr>
                <w:rFonts w:cs="Arial"/>
                <w:color w:val="000000"/>
              </w:rPr>
              <w:t>In this seminar, students integrate and apply the theoretical and methodological underpinnings of global studies as they explore a thematic topic of their own choosing. Through their research, students will enhance analytical, writing, and presentation skills, and develop global empathy by engaging in civic activities directed at solving global challenges</w:t>
            </w:r>
            <w:r w:rsidR="00655802">
              <w:rPr>
                <w:rFonts w:cs="Arial"/>
                <w:color w:val="000000"/>
              </w:rPr>
              <w:t>.</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3 cr.</w:t>
            </w:r>
          </w:p>
        </w:tc>
      </w:tr>
      <w:tr w:rsidR="00514B04" w:rsidTr="00C26E4D">
        <w:tc>
          <w:tcPr>
            <w:tcW w:w="3627" w:type="dxa"/>
            <w:tcBorders>
              <w:top w:val="single" w:sz="4" w:space="0" w:color="auto"/>
              <w:left w:val="single" w:sz="4" w:space="0" w:color="auto"/>
              <w:bottom w:val="single" w:sz="4" w:space="0" w:color="auto"/>
              <w:right w:val="single" w:sz="4" w:space="0" w:color="auto"/>
            </w:tcBorders>
          </w:tcPr>
          <w:p w:rsidR="00514B04" w:rsidRDefault="00514B04">
            <w:pPr>
              <w:spacing w:after="0" w:line="240" w:lineRule="auto"/>
              <w:rPr>
                <w:color w:val="000000" w:themeColor="text1"/>
              </w:rPr>
            </w:pPr>
            <w:r>
              <w:rPr>
                <w:color w:val="000000" w:themeColor="text1"/>
              </w:rPr>
              <w:t>Course Components</w:t>
            </w:r>
          </w:p>
        </w:tc>
        <w:tc>
          <w:tcPr>
            <w:tcW w:w="5723" w:type="dxa"/>
            <w:tcBorders>
              <w:top w:val="single" w:sz="4" w:space="0" w:color="auto"/>
              <w:left w:val="single" w:sz="4" w:space="0" w:color="auto"/>
              <w:bottom w:val="single" w:sz="4" w:space="0" w:color="auto"/>
              <w:right w:val="single" w:sz="4" w:space="0" w:color="auto"/>
            </w:tcBorders>
          </w:tcPr>
          <w:p w:rsidR="00514B04" w:rsidRDefault="00514B04">
            <w:pPr>
              <w:spacing w:after="0" w:line="240" w:lineRule="auto"/>
              <w:rPr>
                <w:color w:val="000000" w:themeColor="text1"/>
              </w:rPr>
            </w:pPr>
            <w:r>
              <w:rPr>
                <w:color w:val="000000" w:themeColor="text1"/>
              </w:rPr>
              <w:t>Lecture, 3 credits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 xml:space="preserve">300 </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14B04">
            <w:pPr>
              <w:pStyle w:val="Default"/>
              <w:rPr>
                <w:rFonts w:asciiTheme="minorHAnsi" w:hAnsiTheme="minorHAnsi" w:cs="Calibri"/>
              </w:rPr>
            </w:pPr>
            <w:r>
              <w:rPr>
                <w:rFonts w:asciiTheme="minorHAnsi" w:hAnsiTheme="minorHAnsi" w:cs="Calibri"/>
              </w:rPr>
              <w:t>15 credits in Global Studies minor, including POLI 120: Global Challenges and 4 elective courses in any of the 3 thematic tracks of the curriculum in Global Studies.</w:t>
            </w:r>
          </w:p>
        </w:tc>
      </w:tr>
      <w:tr w:rsidR="00AF24AE" w:rsidTr="00C26E4D">
        <w:tc>
          <w:tcPr>
            <w:tcW w:w="3627" w:type="dxa"/>
            <w:tcBorders>
              <w:top w:val="single" w:sz="4" w:space="0" w:color="auto"/>
              <w:left w:val="single" w:sz="4" w:space="0" w:color="auto"/>
              <w:bottom w:val="single" w:sz="4" w:space="0" w:color="auto"/>
              <w:right w:val="single" w:sz="4" w:space="0" w:color="auto"/>
            </w:tcBorders>
          </w:tcPr>
          <w:p w:rsidR="00AF24AE" w:rsidRDefault="00AF24AE" w:rsidP="00AF24AE">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F24AE" w:rsidRPr="002E7E95" w:rsidRDefault="00514B04" w:rsidP="00655802">
            <w:pPr>
              <w:autoSpaceDE w:val="0"/>
              <w:autoSpaceDN w:val="0"/>
              <w:adjustRightInd w:val="0"/>
              <w:spacing w:after="0" w:line="240" w:lineRule="auto"/>
              <w:rPr>
                <w:rFonts w:cstheme="minorHAnsi"/>
              </w:rPr>
            </w:pPr>
            <w:r>
              <w:rPr>
                <w:rFonts w:cstheme="minorHAnsi"/>
              </w:rPr>
              <w:t>Required for Global Studies minor</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514B04" w:rsidP="00EB0DFA">
            <w:pPr>
              <w:spacing w:after="0" w:line="240" w:lineRule="auto"/>
              <w:rPr>
                <w:rFonts w:cstheme="minorBidi"/>
                <w:color w:val="000000" w:themeColor="text1"/>
              </w:rPr>
            </w:pPr>
            <w:r>
              <w:rPr>
                <w:rFonts w:cstheme="minorBidi"/>
                <w:color w:val="000000" w:themeColor="text1"/>
              </w:rPr>
              <w:t>1 section every year</w:t>
            </w:r>
            <w:r w:rsidR="00655802">
              <w:rPr>
                <w:rFonts w:cstheme="minorBidi"/>
                <w:color w:val="000000" w:themeColor="text1"/>
              </w:rPr>
              <w:t>; 15 students</w:t>
            </w:r>
            <w:r w:rsidR="004B5DE5">
              <w:rPr>
                <w:rFonts w:cstheme="minorBidi"/>
                <w:color w:val="000000" w:themeColor="text1"/>
              </w:rPr>
              <w:t xml:space="preserve"> maximum enrollment per section</w:t>
            </w:r>
          </w:p>
        </w:tc>
      </w:tr>
    </w:tbl>
    <w:p w:rsidR="00C26E4D" w:rsidRDefault="00C26E4D" w:rsidP="00C26E4D">
      <w:pPr>
        <w:rPr>
          <w:color w:val="000000" w:themeColor="text1"/>
        </w:rPr>
      </w:pPr>
    </w:p>
    <w:p w:rsidR="00655802" w:rsidRDefault="00655802" w:rsidP="00C26E4D">
      <w:pPr>
        <w:rPr>
          <w:color w:val="000000" w:themeColor="text1"/>
        </w:rPr>
      </w:pPr>
      <w:r>
        <w:rPr>
          <w:color w:val="000000" w:themeColor="text1"/>
        </w:rPr>
        <w:tab/>
        <w:t>2.</w:t>
      </w:r>
    </w:p>
    <w:tbl>
      <w:tblPr>
        <w:tblStyle w:val="TableGrid"/>
        <w:tblW w:w="0" w:type="auto"/>
        <w:tblInd w:w="0" w:type="dxa"/>
        <w:tblLook w:val="04A0" w:firstRow="1" w:lastRow="0" w:firstColumn="1" w:lastColumn="0" w:noHBand="0" w:noVBand="1"/>
      </w:tblPr>
      <w:tblGrid>
        <w:gridCol w:w="3627"/>
        <w:gridCol w:w="5723"/>
      </w:tblGrid>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3512C8">
            <w:pPr>
              <w:spacing w:after="0" w:line="240" w:lineRule="auto"/>
              <w:rPr>
                <w:rFonts w:cstheme="minorBidi"/>
                <w:color w:val="000000" w:themeColor="text1"/>
              </w:rPr>
            </w:pPr>
            <w:r>
              <w:rPr>
                <w:rFonts w:ascii="Calibri" w:hAnsi="Calibri" w:cstheme="minorBidi"/>
              </w:rPr>
              <w:t>Rosilyn Overton and John Ng</w:t>
            </w:r>
          </w:p>
        </w:tc>
      </w:tr>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D751B4">
            <w:pPr>
              <w:spacing w:after="0" w:line="240" w:lineRule="auto"/>
              <w:rPr>
                <w:rFonts w:cstheme="minorBidi"/>
                <w:color w:val="000000" w:themeColor="text1"/>
              </w:rPr>
            </w:pPr>
            <w:r>
              <w:rPr>
                <w:rFonts w:cstheme="minorBidi"/>
                <w:color w:val="000000" w:themeColor="text1"/>
              </w:rPr>
              <w:t xml:space="preserve">Finance </w:t>
            </w:r>
            <w:r w:rsidR="00D751B4">
              <w:rPr>
                <w:rFonts w:cstheme="minorBidi"/>
                <w:color w:val="000000" w:themeColor="text1"/>
              </w:rPr>
              <w:t>and</w:t>
            </w:r>
            <w:r>
              <w:rPr>
                <w:rFonts w:cstheme="minorBidi"/>
                <w:color w:val="000000" w:themeColor="text1"/>
              </w:rPr>
              <w:t xml:space="preserve"> Real Estate</w:t>
            </w:r>
          </w:p>
        </w:tc>
      </w:tr>
      <w:tr w:rsidR="00655802" w:rsidTr="003512C8">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656B14">
            <w:pPr>
              <w:spacing w:after="0" w:line="240" w:lineRule="auto"/>
              <w:rPr>
                <w:rFonts w:eastAsiaTheme="minorEastAsia" w:cstheme="minorBidi"/>
                <w:b/>
              </w:rPr>
            </w:pPr>
            <w:r>
              <w:rPr>
                <w:rFonts w:eastAsiaTheme="minorEastAsia" w:cstheme="minorBidi"/>
                <w:b/>
              </w:rPr>
              <w:t>Tax Planning</w:t>
            </w:r>
          </w:p>
        </w:tc>
      </w:tr>
      <w:tr w:rsidR="00655802" w:rsidRPr="00166B59" w:rsidTr="003512C8">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655802" w:rsidRPr="00166B59" w:rsidRDefault="00656B14" w:rsidP="003512C8">
            <w:pPr>
              <w:spacing w:after="0" w:line="240" w:lineRule="auto"/>
              <w:rPr>
                <w:rFonts w:eastAsiaTheme="minorEastAsia" w:cstheme="minorBidi"/>
              </w:rPr>
            </w:pPr>
            <w:r>
              <w:rPr>
                <w:rFonts w:cs="Arial"/>
                <w:color w:val="000000"/>
              </w:rPr>
              <w:t>This course examines the issues, concepts, and strategies for tax planning and selected insurance components. Topics consist of individual and business tax law,</w:t>
            </w:r>
            <w:r w:rsidR="00C92A1B">
              <w:rPr>
                <w:rFonts w:cs="Arial"/>
                <w:color w:val="000000"/>
              </w:rPr>
              <w:t xml:space="preserve"> annuities, health, disability,</w:t>
            </w:r>
            <w:r>
              <w:rPr>
                <w:rFonts w:cs="Arial"/>
                <w:color w:val="000000"/>
              </w:rPr>
              <w:t xml:space="preserve"> and long-term care insurances, including CFP </w:t>
            </w:r>
            <w:r>
              <w:rPr>
                <w:rFonts w:cs="Arial"/>
                <w:color w:val="000000"/>
              </w:rPr>
              <w:lastRenderedPageBreak/>
              <w:t>Board’s code of ethics and professional responsibility and rules of conduct, CFP Board’s financial planning practice standards, and CFP Board’s disciplinary rules of procedures.</w:t>
            </w:r>
          </w:p>
        </w:tc>
      </w:tr>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656B14" w:rsidRDefault="00655802" w:rsidP="003512C8">
            <w:pPr>
              <w:spacing w:after="0" w:line="240" w:lineRule="auto"/>
              <w:rPr>
                <w:rFonts w:cstheme="minorBidi"/>
                <w:color w:val="000000" w:themeColor="text1"/>
              </w:rPr>
            </w:pPr>
            <w:r>
              <w:rPr>
                <w:rFonts w:cstheme="minorBidi"/>
                <w:color w:val="000000" w:themeColor="text1"/>
              </w:rPr>
              <w:t>3 cr.</w:t>
            </w:r>
          </w:p>
        </w:tc>
      </w:tr>
      <w:tr w:rsidR="00656B14" w:rsidTr="003512C8">
        <w:tc>
          <w:tcPr>
            <w:tcW w:w="3627" w:type="dxa"/>
            <w:tcBorders>
              <w:top w:val="single" w:sz="4" w:space="0" w:color="auto"/>
              <w:left w:val="single" w:sz="4" w:space="0" w:color="auto"/>
              <w:bottom w:val="single" w:sz="4" w:space="0" w:color="auto"/>
              <w:right w:val="single" w:sz="4" w:space="0" w:color="auto"/>
            </w:tcBorders>
          </w:tcPr>
          <w:p w:rsidR="00656B14" w:rsidRDefault="00656B14" w:rsidP="003512C8">
            <w:pPr>
              <w:spacing w:after="0" w:line="240" w:lineRule="auto"/>
              <w:rPr>
                <w:color w:val="000000" w:themeColor="text1"/>
              </w:rPr>
            </w:pPr>
            <w:r>
              <w:rPr>
                <w:color w:val="000000" w:themeColor="text1"/>
              </w:rPr>
              <w:t>Course Components</w:t>
            </w:r>
          </w:p>
        </w:tc>
        <w:tc>
          <w:tcPr>
            <w:tcW w:w="5723" w:type="dxa"/>
            <w:tcBorders>
              <w:top w:val="single" w:sz="4" w:space="0" w:color="auto"/>
              <w:left w:val="single" w:sz="4" w:space="0" w:color="auto"/>
              <w:bottom w:val="single" w:sz="4" w:space="0" w:color="auto"/>
              <w:right w:val="single" w:sz="4" w:space="0" w:color="auto"/>
            </w:tcBorders>
          </w:tcPr>
          <w:p w:rsidR="00656B14" w:rsidRDefault="00656B14" w:rsidP="004B5DE5">
            <w:pPr>
              <w:spacing w:after="0" w:line="240" w:lineRule="auto"/>
              <w:rPr>
                <w:color w:val="000000" w:themeColor="text1"/>
              </w:rPr>
            </w:pPr>
            <w:r>
              <w:rPr>
                <w:color w:val="000000" w:themeColor="text1"/>
              </w:rPr>
              <w:t xml:space="preserve">Lecture, </w:t>
            </w:r>
            <w:r w:rsidR="004B5DE5">
              <w:rPr>
                <w:color w:val="000000" w:themeColor="text1"/>
              </w:rPr>
              <w:t>3</w:t>
            </w:r>
            <w:r>
              <w:rPr>
                <w:color w:val="000000" w:themeColor="text1"/>
              </w:rPr>
              <w:t xml:space="preserve"> credits</w:t>
            </w:r>
          </w:p>
        </w:tc>
      </w:tr>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 xml:space="preserve">300 </w:t>
            </w:r>
          </w:p>
        </w:tc>
      </w:tr>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3512C8">
            <w:pPr>
              <w:pStyle w:val="Default"/>
              <w:rPr>
                <w:rFonts w:asciiTheme="minorHAnsi" w:hAnsiTheme="minorHAnsi" w:cs="Calibri"/>
              </w:rPr>
            </w:pPr>
            <w:r>
              <w:rPr>
                <w:rFonts w:asciiTheme="minorHAnsi" w:hAnsiTheme="minorHAnsi" w:cs="Calibri"/>
              </w:rPr>
              <w:t>FINC 3XX: Essentials of Financial Planning, pre- or co-requisite</w:t>
            </w:r>
          </w:p>
        </w:tc>
      </w:tr>
      <w:tr w:rsidR="00655802" w:rsidRPr="002E7E95" w:rsidTr="003512C8">
        <w:tc>
          <w:tcPr>
            <w:tcW w:w="3627" w:type="dxa"/>
            <w:tcBorders>
              <w:top w:val="single" w:sz="4" w:space="0" w:color="auto"/>
              <w:left w:val="single" w:sz="4" w:space="0" w:color="auto"/>
              <w:bottom w:val="single" w:sz="4" w:space="0" w:color="auto"/>
              <w:right w:val="single" w:sz="4" w:space="0" w:color="auto"/>
            </w:tcBorders>
          </w:tcPr>
          <w:p w:rsidR="00655802" w:rsidRDefault="00655802" w:rsidP="003512C8">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655802" w:rsidRPr="002E7E95" w:rsidRDefault="00655802" w:rsidP="00655802">
            <w:pPr>
              <w:autoSpaceDE w:val="0"/>
              <w:autoSpaceDN w:val="0"/>
              <w:adjustRightInd w:val="0"/>
              <w:spacing w:after="0" w:line="240" w:lineRule="auto"/>
              <w:rPr>
                <w:rFonts w:cstheme="minorHAnsi"/>
              </w:rPr>
            </w:pPr>
            <w:r>
              <w:rPr>
                <w:rFonts w:cstheme="minorHAnsi"/>
              </w:rPr>
              <w:t>None.</w:t>
            </w:r>
          </w:p>
        </w:tc>
      </w:tr>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5802" w:rsidP="00655802">
            <w:pPr>
              <w:spacing w:after="0" w:line="240" w:lineRule="auto"/>
              <w:rPr>
                <w:rFonts w:cstheme="minorBidi"/>
                <w:color w:val="000000" w:themeColor="text1"/>
              </w:rPr>
            </w:pPr>
            <w:r>
              <w:rPr>
                <w:rFonts w:cstheme="minorBidi"/>
                <w:color w:val="000000" w:themeColor="text1"/>
              </w:rPr>
              <w:t>1 section a year; 25 students</w:t>
            </w:r>
            <w:r w:rsidR="004B5DE5">
              <w:rPr>
                <w:rFonts w:cstheme="minorBidi"/>
                <w:color w:val="000000" w:themeColor="text1"/>
              </w:rPr>
              <w:t xml:space="preserve"> maximum enrollment per section</w:t>
            </w:r>
          </w:p>
        </w:tc>
      </w:tr>
    </w:tbl>
    <w:p w:rsidR="00655802" w:rsidRDefault="00655802" w:rsidP="00C26E4D">
      <w:pPr>
        <w:rPr>
          <w:color w:val="000000" w:themeColor="text1"/>
        </w:rPr>
      </w:pPr>
    </w:p>
    <w:p w:rsidR="00655802" w:rsidRDefault="00655802" w:rsidP="00C26E4D">
      <w:pPr>
        <w:rPr>
          <w:color w:val="000000" w:themeColor="text1"/>
        </w:rPr>
      </w:pPr>
      <w:r>
        <w:rPr>
          <w:color w:val="000000" w:themeColor="text1"/>
        </w:rPr>
        <w:tab/>
        <w:t>3.</w:t>
      </w:r>
    </w:p>
    <w:tbl>
      <w:tblPr>
        <w:tblStyle w:val="TableGrid"/>
        <w:tblW w:w="0" w:type="auto"/>
        <w:tblInd w:w="0" w:type="dxa"/>
        <w:tblLook w:val="04A0" w:firstRow="1" w:lastRow="0" w:firstColumn="1" w:lastColumn="0" w:noHBand="0" w:noVBand="1"/>
      </w:tblPr>
      <w:tblGrid>
        <w:gridCol w:w="3627"/>
        <w:gridCol w:w="5723"/>
      </w:tblGrid>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3512C8">
            <w:pPr>
              <w:spacing w:after="0" w:line="240" w:lineRule="auto"/>
              <w:rPr>
                <w:rFonts w:cstheme="minorBidi"/>
                <w:color w:val="000000" w:themeColor="text1"/>
              </w:rPr>
            </w:pPr>
            <w:r>
              <w:rPr>
                <w:rFonts w:ascii="Calibri" w:hAnsi="Calibri" w:cstheme="minorBidi"/>
              </w:rPr>
              <w:t>Rosilyn Overton</w:t>
            </w:r>
          </w:p>
        </w:tc>
      </w:tr>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D751B4">
            <w:pPr>
              <w:spacing w:after="0" w:line="240" w:lineRule="auto"/>
              <w:rPr>
                <w:rFonts w:cstheme="minorBidi"/>
                <w:color w:val="000000" w:themeColor="text1"/>
              </w:rPr>
            </w:pPr>
            <w:r>
              <w:rPr>
                <w:rFonts w:cstheme="minorBidi"/>
                <w:color w:val="000000" w:themeColor="text1"/>
              </w:rPr>
              <w:t xml:space="preserve">Finance </w:t>
            </w:r>
            <w:r w:rsidR="00D751B4">
              <w:rPr>
                <w:rFonts w:cstheme="minorBidi"/>
                <w:color w:val="000000" w:themeColor="text1"/>
              </w:rPr>
              <w:t>and Real Estate</w:t>
            </w:r>
          </w:p>
        </w:tc>
      </w:tr>
      <w:tr w:rsidR="00655802" w:rsidTr="003512C8">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656B14">
            <w:pPr>
              <w:spacing w:after="0" w:line="240" w:lineRule="auto"/>
              <w:rPr>
                <w:rFonts w:eastAsiaTheme="minorEastAsia" w:cstheme="minorBidi"/>
                <w:b/>
              </w:rPr>
            </w:pPr>
            <w:r>
              <w:rPr>
                <w:rFonts w:eastAsiaTheme="minorEastAsia" w:cstheme="minorBidi"/>
                <w:b/>
              </w:rPr>
              <w:t>Financial Planning for Retirement, Benefits, and Education</w:t>
            </w:r>
          </w:p>
        </w:tc>
      </w:tr>
      <w:tr w:rsidR="00655802" w:rsidRPr="00166B59" w:rsidTr="003512C8">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655802" w:rsidRPr="00166B59" w:rsidRDefault="00656B14" w:rsidP="00656B14">
            <w:pPr>
              <w:spacing w:after="0" w:line="240" w:lineRule="auto"/>
              <w:rPr>
                <w:rFonts w:eastAsiaTheme="minorEastAsia" w:cstheme="minorBidi"/>
              </w:rPr>
            </w:pPr>
            <w:r>
              <w:rPr>
                <w:rFonts w:cs="Arial"/>
                <w:color w:val="000000"/>
              </w:rPr>
              <w:t>This course examines both public and private retirement plans, including Social Security, Medicare, Medicaid, defined benefit and contribution plans</w:t>
            </w:r>
            <w:r w:rsidR="00B56813">
              <w:rPr>
                <w:rFonts w:cs="Arial"/>
                <w:color w:val="000000"/>
              </w:rPr>
              <w:t>.</w:t>
            </w:r>
            <w:r>
              <w:rPr>
                <w:rFonts w:cs="Arial"/>
                <w:color w:val="000000"/>
              </w:rPr>
              <w:t xml:space="preserve"> Regulatory provisions and non-qualified deferred compensation plans are analyzed. Issues faced in retirement, such as community and life-style decisions, concurrent education needs, insurance options,, and medical issues, are discussed.</w:t>
            </w:r>
          </w:p>
        </w:tc>
      </w:tr>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3 cr.</w:t>
            </w:r>
          </w:p>
        </w:tc>
      </w:tr>
      <w:tr w:rsidR="00656B14" w:rsidTr="003512C8">
        <w:tc>
          <w:tcPr>
            <w:tcW w:w="3627" w:type="dxa"/>
            <w:tcBorders>
              <w:top w:val="single" w:sz="4" w:space="0" w:color="auto"/>
              <w:left w:val="single" w:sz="4" w:space="0" w:color="auto"/>
              <w:bottom w:val="single" w:sz="4" w:space="0" w:color="auto"/>
              <w:right w:val="single" w:sz="4" w:space="0" w:color="auto"/>
            </w:tcBorders>
          </w:tcPr>
          <w:p w:rsidR="00656B14" w:rsidRDefault="00656B14" w:rsidP="003512C8">
            <w:pPr>
              <w:spacing w:after="0" w:line="240" w:lineRule="auto"/>
              <w:rPr>
                <w:color w:val="000000" w:themeColor="text1"/>
              </w:rPr>
            </w:pPr>
            <w:r>
              <w:rPr>
                <w:color w:val="000000" w:themeColor="text1"/>
              </w:rPr>
              <w:t>Course Components</w:t>
            </w:r>
          </w:p>
        </w:tc>
        <w:tc>
          <w:tcPr>
            <w:tcW w:w="5723" w:type="dxa"/>
            <w:tcBorders>
              <w:top w:val="single" w:sz="4" w:space="0" w:color="auto"/>
              <w:left w:val="single" w:sz="4" w:space="0" w:color="auto"/>
              <w:bottom w:val="single" w:sz="4" w:space="0" w:color="auto"/>
              <w:right w:val="single" w:sz="4" w:space="0" w:color="auto"/>
            </w:tcBorders>
          </w:tcPr>
          <w:p w:rsidR="00656B14" w:rsidRDefault="00656B14" w:rsidP="004B5DE5">
            <w:pPr>
              <w:spacing w:after="0" w:line="240" w:lineRule="auto"/>
              <w:rPr>
                <w:color w:val="000000" w:themeColor="text1"/>
              </w:rPr>
            </w:pPr>
            <w:r>
              <w:rPr>
                <w:color w:val="000000" w:themeColor="text1"/>
              </w:rPr>
              <w:t xml:space="preserve">Lecture, </w:t>
            </w:r>
            <w:r w:rsidR="004B5DE5">
              <w:rPr>
                <w:color w:val="000000" w:themeColor="text1"/>
              </w:rPr>
              <w:t>3</w:t>
            </w:r>
            <w:r>
              <w:rPr>
                <w:color w:val="000000" w:themeColor="text1"/>
              </w:rPr>
              <w:t xml:space="preserve"> credits</w:t>
            </w:r>
          </w:p>
        </w:tc>
      </w:tr>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3512C8">
            <w:pPr>
              <w:spacing w:after="0" w:line="240" w:lineRule="auto"/>
              <w:rPr>
                <w:rFonts w:cstheme="minorBidi"/>
                <w:color w:val="000000" w:themeColor="text1"/>
              </w:rPr>
            </w:pPr>
            <w:r>
              <w:rPr>
                <w:rFonts w:cstheme="minorBidi"/>
                <w:color w:val="000000" w:themeColor="text1"/>
              </w:rPr>
              <w:t>400</w:t>
            </w:r>
          </w:p>
        </w:tc>
      </w:tr>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6B14" w:rsidP="003512C8">
            <w:pPr>
              <w:pStyle w:val="Default"/>
              <w:rPr>
                <w:rFonts w:asciiTheme="minorHAnsi" w:hAnsiTheme="minorHAnsi" w:cs="Calibri"/>
              </w:rPr>
            </w:pPr>
            <w:r>
              <w:rPr>
                <w:rFonts w:asciiTheme="minorHAnsi" w:hAnsiTheme="minorHAnsi" w:cs="Calibri"/>
              </w:rPr>
              <w:t>FINC 3XX: Essentials of Financial Planning</w:t>
            </w:r>
          </w:p>
        </w:tc>
      </w:tr>
      <w:tr w:rsidR="00655802" w:rsidRPr="002E7E95" w:rsidTr="003512C8">
        <w:tc>
          <w:tcPr>
            <w:tcW w:w="3627" w:type="dxa"/>
            <w:tcBorders>
              <w:top w:val="single" w:sz="4" w:space="0" w:color="auto"/>
              <w:left w:val="single" w:sz="4" w:space="0" w:color="auto"/>
              <w:bottom w:val="single" w:sz="4" w:space="0" w:color="auto"/>
              <w:right w:val="single" w:sz="4" w:space="0" w:color="auto"/>
            </w:tcBorders>
          </w:tcPr>
          <w:p w:rsidR="00655802" w:rsidRDefault="00655802" w:rsidP="003512C8">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655802" w:rsidRPr="002E7E95" w:rsidRDefault="00C92A1B" w:rsidP="003512C8">
            <w:pPr>
              <w:autoSpaceDE w:val="0"/>
              <w:autoSpaceDN w:val="0"/>
              <w:adjustRightInd w:val="0"/>
              <w:spacing w:after="0" w:line="240" w:lineRule="auto"/>
              <w:rPr>
                <w:rFonts w:cstheme="minorHAnsi"/>
              </w:rPr>
            </w:pPr>
            <w:r>
              <w:rPr>
                <w:rFonts w:cstheme="minorHAnsi"/>
              </w:rPr>
              <w:t>Required for minor in Professional Financial Planning</w:t>
            </w:r>
          </w:p>
        </w:tc>
      </w:tr>
      <w:tr w:rsidR="00655802" w:rsidTr="003512C8">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3512C8">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C92A1B" w:rsidP="00C92A1B">
            <w:pPr>
              <w:spacing w:after="0" w:line="240" w:lineRule="auto"/>
              <w:rPr>
                <w:rFonts w:cstheme="minorBidi"/>
                <w:color w:val="000000" w:themeColor="text1"/>
              </w:rPr>
            </w:pPr>
            <w:r>
              <w:rPr>
                <w:rFonts w:cstheme="minorBidi"/>
                <w:color w:val="000000" w:themeColor="text1"/>
              </w:rPr>
              <w:t>2 sections a semester</w:t>
            </w:r>
            <w:r w:rsidR="00655802">
              <w:rPr>
                <w:rFonts w:cstheme="minorBidi"/>
                <w:color w:val="000000" w:themeColor="text1"/>
              </w:rPr>
              <w:t xml:space="preserve">; </w:t>
            </w:r>
            <w:r>
              <w:rPr>
                <w:rFonts w:cstheme="minorBidi"/>
                <w:color w:val="000000" w:themeColor="text1"/>
              </w:rPr>
              <w:t>20</w:t>
            </w:r>
            <w:r w:rsidR="00655802">
              <w:rPr>
                <w:rFonts w:cstheme="minorBidi"/>
                <w:color w:val="000000" w:themeColor="text1"/>
              </w:rPr>
              <w:t xml:space="preserve"> students</w:t>
            </w:r>
            <w:r>
              <w:rPr>
                <w:rFonts w:cstheme="minorBidi"/>
                <w:color w:val="000000" w:themeColor="text1"/>
              </w:rPr>
              <w:t xml:space="preserve"> for in-person</w:t>
            </w:r>
            <w:r w:rsidR="004B5DE5">
              <w:rPr>
                <w:rFonts w:cstheme="minorBidi"/>
                <w:color w:val="000000" w:themeColor="text1"/>
              </w:rPr>
              <w:t xml:space="preserve"> maximum enrollment per section</w:t>
            </w:r>
            <w:r>
              <w:rPr>
                <w:rFonts w:cstheme="minorBidi"/>
                <w:color w:val="000000" w:themeColor="text1"/>
              </w:rPr>
              <w:t>, 20 for online</w:t>
            </w:r>
            <w:r w:rsidR="004B5DE5">
              <w:rPr>
                <w:rFonts w:cstheme="minorBidi"/>
                <w:color w:val="000000" w:themeColor="text1"/>
              </w:rPr>
              <w:t xml:space="preserve"> maximum enrollment per section</w:t>
            </w:r>
          </w:p>
        </w:tc>
      </w:tr>
    </w:tbl>
    <w:p w:rsidR="00B56813" w:rsidRDefault="00B56813" w:rsidP="00B56813">
      <w:pPr>
        <w:rPr>
          <w:color w:val="000000" w:themeColor="text1"/>
        </w:rPr>
      </w:pPr>
    </w:p>
    <w:p w:rsidR="00C92A1B" w:rsidRDefault="00C92A1B" w:rsidP="00C92A1B">
      <w:pPr>
        <w:ind w:firstLine="720"/>
        <w:rPr>
          <w:color w:val="000000" w:themeColor="text1"/>
        </w:rPr>
      </w:pPr>
      <w:r>
        <w:rPr>
          <w:color w:val="000000" w:themeColor="text1"/>
        </w:rPr>
        <w:t>4.</w:t>
      </w:r>
    </w:p>
    <w:tbl>
      <w:tblPr>
        <w:tblStyle w:val="TableGrid"/>
        <w:tblW w:w="0" w:type="auto"/>
        <w:tblInd w:w="0" w:type="dxa"/>
        <w:tblLook w:val="04A0" w:firstRow="1" w:lastRow="0" w:firstColumn="1" w:lastColumn="0" w:noHBand="0" w:noVBand="1"/>
      </w:tblPr>
      <w:tblGrid>
        <w:gridCol w:w="3627"/>
        <w:gridCol w:w="5723"/>
      </w:tblGrid>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ascii="Calibri" w:hAnsi="Calibri" w:cstheme="minorBidi"/>
              </w:rPr>
              <w:t>Marilyn Ettinger and Pierre Maccagno</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Finance and Real Estate</w:t>
            </w:r>
          </w:p>
        </w:tc>
      </w:tr>
      <w:tr w:rsidR="00C92A1B"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C92A1B">
            <w:pPr>
              <w:spacing w:after="0" w:line="240" w:lineRule="auto"/>
              <w:rPr>
                <w:rFonts w:eastAsiaTheme="minorEastAsia" w:cstheme="minorBidi"/>
                <w:b/>
              </w:rPr>
            </w:pPr>
            <w:r>
              <w:rPr>
                <w:rFonts w:eastAsiaTheme="minorEastAsia" w:cstheme="minorBidi"/>
                <w:b/>
              </w:rPr>
              <w:t>Essentials of Professional Financial Planning</w:t>
            </w:r>
          </w:p>
        </w:tc>
      </w:tr>
      <w:tr w:rsidR="00C92A1B" w:rsidRPr="00166B59"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C92A1B" w:rsidP="00EF6616">
            <w:pPr>
              <w:spacing w:after="0" w:line="240" w:lineRule="auto"/>
              <w:rPr>
                <w:rFonts w:eastAsiaTheme="minorEastAsia" w:cstheme="minorBidi"/>
              </w:rPr>
            </w:pPr>
            <w:r>
              <w:rPr>
                <w:rFonts w:eastAsiaTheme="minorEastAsia" w:cstheme="minorBidi"/>
              </w:rPr>
              <w:t>This course provides an overview of professional financial planning theory and practice in the context of ethical behavior, understanding client needs, and regulatory compliance. Topics include purposes of financial planning, value of objective advice, financial analysis tools, the financial planning process, and the client-advisor relationship.</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3 cr.</w:t>
            </w:r>
          </w:p>
        </w:tc>
      </w:tr>
      <w:tr w:rsidR="00C92A1B" w:rsidTr="00EF6616">
        <w:tc>
          <w:tcPr>
            <w:tcW w:w="3627" w:type="dxa"/>
            <w:tcBorders>
              <w:top w:val="single" w:sz="4" w:space="0" w:color="auto"/>
              <w:left w:val="single" w:sz="4" w:space="0" w:color="auto"/>
              <w:bottom w:val="single" w:sz="4" w:space="0" w:color="auto"/>
              <w:right w:val="single" w:sz="4" w:space="0" w:color="auto"/>
            </w:tcBorders>
          </w:tcPr>
          <w:p w:rsidR="00C92A1B" w:rsidRDefault="00C92A1B" w:rsidP="00EF6616">
            <w:pPr>
              <w:spacing w:after="0" w:line="240" w:lineRule="auto"/>
              <w:rPr>
                <w:color w:val="000000" w:themeColor="text1"/>
              </w:rPr>
            </w:pPr>
            <w:r>
              <w:rPr>
                <w:color w:val="000000" w:themeColor="text1"/>
              </w:rPr>
              <w:t>Course Components</w:t>
            </w:r>
          </w:p>
        </w:tc>
        <w:tc>
          <w:tcPr>
            <w:tcW w:w="5723" w:type="dxa"/>
            <w:tcBorders>
              <w:top w:val="single" w:sz="4" w:space="0" w:color="auto"/>
              <w:left w:val="single" w:sz="4" w:space="0" w:color="auto"/>
              <w:bottom w:val="single" w:sz="4" w:space="0" w:color="auto"/>
              <w:right w:val="single" w:sz="4" w:space="0" w:color="auto"/>
            </w:tcBorders>
          </w:tcPr>
          <w:p w:rsidR="00C92A1B" w:rsidRDefault="00C92A1B" w:rsidP="00C92A1B">
            <w:pPr>
              <w:spacing w:after="0" w:line="240" w:lineRule="auto"/>
              <w:rPr>
                <w:color w:val="000000" w:themeColor="text1"/>
              </w:rPr>
            </w:pPr>
            <w:r>
              <w:rPr>
                <w:color w:val="000000" w:themeColor="text1"/>
              </w:rPr>
              <w:t>Lecture, 3 credits</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300</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C92A1B">
            <w:pPr>
              <w:pStyle w:val="Default"/>
              <w:rPr>
                <w:rFonts w:asciiTheme="minorHAnsi" w:hAnsiTheme="minorHAnsi" w:cs="Calibri"/>
              </w:rPr>
            </w:pPr>
            <w:r>
              <w:rPr>
                <w:rFonts w:asciiTheme="minorHAnsi" w:hAnsiTheme="minorHAnsi" w:cs="Calibri"/>
              </w:rPr>
              <w:t>FINC 229 Foundations of Finance or FINC 250 Financial Literacy or FINC 371 Managerial Finance or possession of baccalaureate degree</w:t>
            </w:r>
          </w:p>
        </w:tc>
      </w:tr>
      <w:tr w:rsidR="00C92A1B" w:rsidRPr="002E7E95" w:rsidTr="00EF6616">
        <w:tc>
          <w:tcPr>
            <w:tcW w:w="3627" w:type="dxa"/>
            <w:tcBorders>
              <w:top w:val="single" w:sz="4" w:space="0" w:color="auto"/>
              <w:left w:val="single" w:sz="4" w:space="0" w:color="auto"/>
              <w:bottom w:val="single" w:sz="4" w:space="0" w:color="auto"/>
              <w:right w:val="single" w:sz="4" w:space="0" w:color="auto"/>
            </w:tcBorders>
          </w:tcPr>
          <w:p w:rsidR="00C92A1B" w:rsidRDefault="00C92A1B" w:rsidP="00EF6616">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C92A1B" w:rsidP="00EF6616">
            <w:pPr>
              <w:autoSpaceDE w:val="0"/>
              <w:autoSpaceDN w:val="0"/>
              <w:adjustRightInd w:val="0"/>
              <w:spacing w:after="0" w:line="240" w:lineRule="auto"/>
              <w:rPr>
                <w:rFonts w:cstheme="minorHAnsi"/>
              </w:rPr>
            </w:pPr>
            <w:r>
              <w:rPr>
                <w:rFonts w:cstheme="minorHAnsi"/>
              </w:rPr>
              <w:t>Required for minor in Professional Financial Planning</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C92A1B">
            <w:pPr>
              <w:spacing w:after="0" w:line="240" w:lineRule="auto"/>
              <w:rPr>
                <w:rFonts w:cstheme="minorBidi"/>
                <w:color w:val="000000" w:themeColor="text1"/>
              </w:rPr>
            </w:pPr>
            <w:r>
              <w:rPr>
                <w:rFonts w:cstheme="minorBidi"/>
                <w:color w:val="000000" w:themeColor="text1"/>
              </w:rPr>
              <w:t>1 sections each semester;</w:t>
            </w:r>
            <w:r w:rsidR="004B5DE5">
              <w:rPr>
                <w:rFonts w:cstheme="minorBidi"/>
                <w:color w:val="000000" w:themeColor="text1"/>
              </w:rPr>
              <w:t xml:space="preserve"> 25 students maximum enrollment per section</w:t>
            </w:r>
            <w:r>
              <w:rPr>
                <w:rFonts w:cstheme="minorBidi"/>
                <w:color w:val="000000" w:themeColor="text1"/>
              </w:rPr>
              <w:t xml:space="preserve"> </w:t>
            </w:r>
          </w:p>
        </w:tc>
      </w:tr>
    </w:tbl>
    <w:p w:rsidR="00C92A1B" w:rsidRDefault="00C92A1B" w:rsidP="00B56813">
      <w:pPr>
        <w:rPr>
          <w:color w:val="000000" w:themeColor="text1"/>
        </w:rPr>
      </w:pPr>
    </w:p>
    <w:p w:rsidR="00C92A1B" w:rsidRDefault="00C92A1B" w:rsidP="00D751B4">
      <w:pPr>
        <w:ind w:firstLine="720"/>
        <w:rPr>
          <w:color w:val="000000" w:themeColor="text1"/>
        </w:rPr>
      </w:pPr>
      <w:r>
        <w:rPr>
          <w:color w:val="000000" w:themeColor="text1"/>
        </w:rPr>
        <w:t>5.</w:t>
      </w:r>
    </w:p>
    <w:tbl>
      <w:tblPr>
        <w:tblStyle w:val="TableGrid"/>
        <w:tblW w:w="0" w:type="auto"/>
        <w:tblInd w:w="0" w:type="dxa"/>
        <w:tblLook w:val="04A0" w:firstRow="1" w:lastRow="0" w:firstColumn="1" w:lastColumn="0" w:noHBand="0" w:noVBand="1"/>
      </w:tblPr>
      <w:tblGrid>
        <w:gridCol w:w="3627"/>
        <w:gridCol w:w="5723"/>
      </w:tblGrid>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ascii="Calibri" w:hAnsi="Calibri" w:cstheme="minorBidi"/>
              </w:rPr>
              <w:t>Rosilyn Overton</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C92A1B">
            <w:pPr>
              <w:spacing w:after="0" w:line="240" w:lineRule="auto"/>
              <w:rPr>
                <w:rFonts w:cstheme="minorBidi"/>
                <w:color w:val="000000" w:themeColor="text1"/>
              </w:rPr>
            </w:pPr>
            <w:r>
              <w:rPr>
                <w:rFonts w:cstheme="minorBidi"/>
                <w:color w:val="000000" w:themeColor="text1"/>
              </w:rPr>
              <w:t>Finance and Real Estate</w:t>
            </w:r>
          </w:p>
        </w:tc>
      </w:tr>
      <w:tr w:rsidR="00C92A1B"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C92A1B">
            <w:pPr>
              <w:spacing w:after="0" w:line="240" w:lineRule="auto"/>
              <w:rPr>
                <w:rFonts w:eastAsiaTheme="minorEastAsia" w:cstheme="minorBidi"/>
                <w:b/>
              </w:rPr>
            </w:pPr>
            <w:r>
              <w:rPr>
                <w:rFonts w:eastAsiaTheme="minorEastAsia" w:cstheme="minorBidi"/>
                <w:b/>
              </w:rPr>
              <w:t>Capstone Financial Planning Case Study</w:t>
            </w:r>
          </w:p>
        </w:tc>
      </w:tr>
      <w:tr w:rsidR="00C92A1B" w:rsidRPr="00166B59"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C92A1B" w:rsidP="00EF6616">
            <w:pPr>
              <w:spacing w:after="0" w:line="240" w:lineRule="auto"/>
              <w:rPr>
                <w:rFonts w:eastAsiaTheme="minorEastAsia" w:cstheme="minorBidi"/>
              </w:rPr>
            </w:pPr>
            <w:r>
              <w:rPr>
                <w:rFonts w:cs="Arial"/>
                <w:color w:val="000000"/>
              </w:rPr>
              <w:t>This course demonstrates the student’s ability to apply all that he/she has learned in the Financial Planning curriculum to prepare a financial plan for a client. It requires a written case presentation,, an academic appendix, and an oral presentation to multiple qualified judges to defend the analysis of the plan.</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3 cr.</w:t>
            </w:r>
          </w:p>
        </w:tc>
      </w:tr>
      <w:tr w:rsidR="00C92A1B" w:rsidTr="00EF6616">
        <w:tc>
          <w:tcPr>
            <w:tcW w:w="3627" w:type="dxa"/>
            <w:tcBorders>
              <w:top w:val="single" w:sz="4" w:space="0" w:color="auto"/>
              <w:left w:val="single" w:sz="4" w:space="0" w:color="auto"/>
              <w:bottom w:val="single" w:sz="4" w:space="0" w:color="auto"/>
              <w:right w:val="single" w:sz="4" w:space="0" w:color="auto"/>
            </w:tcBorders>
          </w:tcPr>
          <w:p w:rsidR="00C92A1B" w:rsidRDefault="00C92A1B" w:rsidP="00EF6616">
            <w:pPr>
              <w:spacing w:after="0" w:line="240" w:lineRule="auto"/>
              <w:rPr>
                <w:color w:val="000000" w:themeColor="text1"/>
              </w:rPr>
            </w:pPr>
            <w:r>
              <w:rPr>
                <w:color w:val="000000" w:themeColor="text1"/>
              </w:rPr>
              <w:t>Course Components</w:t>
            </w:r>
          </w:p>
        </w:tc>
        <w:tc>
          <w:tcPr>
            <w:tcW w:w="5723" w:type="dxa"/>
            <w:tcBorders>
              <w:top w:val="single" w:sz="4" w:space="0" w:color="auto"/>
              <w:left w:val="single" w:sz="4" w:space="0" w:color="auto"/>
              <w:bottom w:val="single" w:sz="4" w:space="0" w:color="auto"/>
              <w:right w:val="single" w:sz="4" w:space="0" w:color="auto"/>
            </w:tcBorders>
          </w:tcPr>
          <w:p w:rsidR="00C92A1B" w:rsidRDefault="008333F5" w:rsidP="00C92A1B">
            <w:pPr>
              <w:spacing w:after="0" w:line="240" w:lineRule="auto"/>
              <w:rPr>
                <w:color w:val="000000" w:themeColor="text1"/>
              </w:rPr>
            </w:pPr>
            <w:r>
              <w:rPr>
                <w:color w:val="000000" w:themeColor="text1"/>
              </w:rPr>
              <w:t>???</w:t>
            </w:r>
            <w:bookmarkStart w:id="0" w:name="_GoBack"/>
            <w:bookmarkEnd w:id="0"/>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400</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pStyle w:val="Default"/>
              <w:rPr>
                <w:rFonts w:asciiTheme="minorHAnsi" w:hAnsiTheme="minorHAnsi" w:cs="Calibri"/>
              </w:rPr>
            </w:pPr>
            <w:r>
              <w:rPr>
                <w:rFonts w:asciiTheme="minorHAnsi" w:hAnsiTheme="minorHAnsi" w:cs="Calibri"/>
              </w:rPr>
              <w:t xml:space="preserve">FINC 3XX: Essentials of Financial Planning, FINC 3XX: Tax Planning, </w:t>
            </w:r>
            <w:r w:rsidR="00D970A6">
              <w:rPr>
                <w:rFonts w:asciiTheme="minorHAnsi" w:hAnsiTheme="minorHAnsi" w:cs="Calibri"/>
              </w:rPr>
              <w:t>??? Investment and Portfolio Planning, ??? Retirement and Benefits Planning, ??? Estate Planning</w:t>
            </w:r>
          </w:p>
        </w:tc>
      </w:tr>
      <w:tr w:rsidR="00C92A1B" w:rsidRPr="002E7E95" w:rsidTr="00EF6616">
        <w:tc>
          <w:tcPr>
            <w:tcW w:w="3627" w:type="dxa"/>
            <w:tcBorders>
              <w:top w:val="single" w:sz="4" w:space="0" w:color="auto"/>
              <w:left w:val="single" w:sz="4" w:space="0" w:color="auto"/>
              <w:bottom w:val="single" w:sz="4" w:space="0" w:color="auto"/>
              <w:right w:val="single" w:sz="4" w:space="0" w:color="auto"/>
            </w:tcBorders>
          </w:tcPr>
          <w:p w:rsidR="00C92A1B" w:rsidRDefault="00C92A1B" w:rsidP="00EF6616">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C92A1B" w:rsidP="00D970A6">
            <w:pPr>
              <w:autoSpaceDE w:val="0"/>
              <w:autoSpaceDN w:val="0"/>
              <w:adjustRightInd w:val="0"/>
              <w:spacing w:after="0" w:line="240" w:lineRule="auto"/>
              <w:rPr>
                <w:rFonts w:cstheme="minorHAnsi"/>
              </w:rPr>
            </w:pPr>
            <w:r>
              <w:rPr>
                <w:rFonts w:cstheme="minorHAnsi"/>
              </w:rPr>
              <w:t>Required for minor in Professional Financial Planning</w:t>
            </w:r>
            <w:r w:rsidR="00D970A6">
              <w:rPr>
                <w:rFonts w:cstheme="minorHAnsi"/>
              </w:rPr>
              <w:t xml:space="preserve"> and for the Certificate in Financial Planning</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970A6" w:rsidP="00D970A6">
            <w:pPr>
              <w:spacing w:after="0" w:line="240" w:lineRule="auto"/>
              <w:rPr>
                <w:rFonts w:cstheme="minorBidi"/>
                <w:color w:val="000000" w:themeColor="text1"/>
              </w:rPr>
            </w:pPr>
            <w:r>
              <w:rPr>
                <w:rFonts w:cstheme="minorBidi"/>
                <w:color w:val="000000" w:themeColor="text1"/>
              </w:rPr>
              <w:t>1 section</w:t>
            </w:r>
            <w:r w:rsidR="00C92A1B">
              <w:rPr>
                <w:rFonts w:cstheme="minorBidi"/>
                <w:color w:val="000000" w:themeColor="text1"/>
              </w:rPr>
              <w:t xml:space="preserve"> a semester; </w:t>
            </w:r>
            <w:r>
              <w:rPr>
                <w:rFonts w:cstheme="minorBidi"/>
                <w:color w:val="000000" w:themeColor="text1"/>
              </w:rPr>
              <w:t>15 students</w:t>
            </w:r>
            <w:r w:rsidR="004B5DE5">
              <w:rPr>
                <w:rFonts w:cstheme="minorBidi"/>
                <w:color w:val="000000" w:themeColor="text1"/>
              </w:rPr>
              <w:t xml:space="preserve"> maximum enrollment per section</w:t>
            </w:r>
          </w:p>
        </w:tc>
      </w:tr>
    </w:tbl>
    <w:p w:rsidR="00C92A1B" w:rsidRDefault="00C92A1B" w:rsidP="00B56813">
      <w:pPr>
        <w:rPr>
          <w:color w:val="000000" w:themeColor="text1"/>
        </w:rPr>
      </w:pPr>
    </w:p>
    <w:p w:rsidR="00C92A1B" w:rsidRDefault="00C92A1B" w:rsidP="00D751B4">
      <w:pPr>
        <w:ind w:firstLine="720"/>
        <w:rPr>
          <w:color w:val="000000" w:themeColor="text1"/>
        </w:rPr>
      </w:pPr>
      <w:r>
        <w:rPr>
          <w:color w:val="000000" w:themeColor="text1"/>
        </w:rPr>
        <w:t>6.</w:t>
      </w:r>
    </w:p>
    <w:tbl>
      <w:tblPr>
        <w:tblStyle w:val="TableGrid"/>
        <w:tblW w:w="0" w:type="auto"/>
        <w:tblInd w:w="0" w:type="dxa"/>
        <w:tblLook w:val="04A0" w:firstRow="1" w:lastRow="0" w:firstColumn="1" w:lastColumn="0" w:noHBand="0" w:noVBand="1"/>
      </w:tblPr>
      <w:tblGrid>
        <w:gridCol w:w="3627"/>
        <w:gridCol w:w="5723"/>
      </w:tblGrid>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ascii="Calibri" w:hAnsi="Calibri" w:cstheme="minorBidi"/>
              </w:rPr>
              <w:t>Rosilyn Overton</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D751B4">
            <w:pPr>
              <w:spacing w:after="0" w:line="240" w:lineRule="auto"/>
              <w:rPr>
                <w:rFonts w:cstheme="minorBidi"/>
                <w:color w:val="000000" w:themeColor="text1"/>
              </w:rPr>
            </w:pPr>
            <w:r>
              <w:rPr>
                <w:rFonts w:cstheme="minorBidi"/>
                <w:color w:val="000000" w:themeColor="text1"/>
              </w:rPr>
              <w:t xml:space="preserve">Finance </w:t>
            </w:r>
            <w:r w:rsidR="00D751B4">
              <w:rPr>
                <w:rFonts w:cstheme="minorBidi"/>
                <w:color w:val="000000" w:themeColor="text1"/>
              </w:rPr>
              <w:t>and Real Estate</w:t>
            </w:r>
          </w:p>
        </w:tc>
      </w:tr>
      <w:tr w:rsidR="00C92A1B"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751B4" w:rsidP="00EF6616">
            <w:pPr>
              <w:spacing w:after="0" w:line="240" w:lineRule="auto"/>
              <w:rPr>
                <w:rFonts w:eastAsiaTheme="minorEastAsia" w:cstheme="minorBidi"/>
                <w:b/>
              </w:rPr>
            </w:pPr>
            <w:r>
              <w:rPr>
                <w:rFonts w:eastAsiaTheme="minorEastAsia" w:cstheme="minorBidi"/>
                <w:b/>
              </w:rPr>
              <w:t>Principles of Estate and Insurance Planning</w:t>
            </w:r>
          </w:p>
        </w:tc>
      </w:tr>
      <w:tr w:rsidR="00C92A1B" w:rsidRPr="00166B59"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D751B4" w:rsidP="00EF6616">
            <w:pPr>
              <w:spacing w:after="0" w:line="240" w:lineRule="auto"/>
              <w:rPr>
                <w:rFonts w:eastAsiaTheme="minorEastAsia" w:cstheme="minorBidi"/>
              </w:rPr>
            </w:pPr>
            <w:r>
              <w:rPr>
                <w:rFonts w:eastAsiaTheme="minorEastAsia" w:cstheme="minorBidi"/>
              </w:rPr>
              <w:t>The course examines the issues, concepts, and strategies for appropriate disposition of a descendant’s estate and pre-death wealth transfer methods. It includes protection for survivors in the event of death, and life and health insurance. Includes property characteristics, wills, trusts and probate process, estate planning,, tax reduction strategies, and insurance.</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3 cr.</w:t>
            </w:r>
          </w:p>
        </w:tc>
      </w:tr>
      <w:tr w:rsidR="00C92A1B" w:rsidTr="00EF6616">
        <w:tc>
          <w:tcPr>
            <w:tcW w:w="3627" w:type="dxa"/>
            <w:tcBorders>
              <w:top w:val="single" w:sz="4" w:space="0" w:color="auto"/>
              <w:left w:val="single" w:sz="4" w:space="0" w:color="auto"/>
              <w:bottom w:val="single" w:sz="4" w:space="0" w:color="auto"/>
              <w:right w:val="single" w:sz="4" w:space="0" w:color="auto"/>
            </w:tcBorders>
          </w:tcPr>
          <w:p w:rsidR="00C92A1B" w:rsidRDefault="00C92A1B" w:rsidP="00EF6616">
            <w:pPr>
              <w:spacing w:after="0" w:line="240" w:lineRule="auto"/>
              <w:rPr>
                <w:color w:val="000000" w:themeColor="text1"/>
              </w:rPr>
            </w:pPr>
            <w:r>
              <w:rPr>
                <w:color w:val="000000" w:themeColor="text1"/>
              </w:rPr>
              <w:t>Course Components</w:t>
            </w:r>
          </w:p>
        </w:tc>
        <w:tc>
          <w:tcPr>
            <w:tcW w:w="5723" w:type="dxa"/>
            <w:tcBorders>
              <w:top w:val="single" w:sz="4" w:space="0" w:color="auto"/>
              <w:left w:val="single" w:sz="4" w:space="0" w:color="auto"/>
              <w:bottom w:val="single" w:sz="4" w:space="0" w:color="auto"/>
              <w:right w:val="single" w:sz="4" w:space="0" w:color="auto"/>
            </w:tcBorders>
          </w:tcPr>
          <w:p w:rsidR="00C92A1B" w:rsidRDefault="004B5DE5" w:rsidP="004B5DE5">
            <w:pPr>
              <w:spacing w:after="0" w:line="240" w:lineRule="auto"/>
              <w:rPr>
                <w:color w:val="000000" w:themeColor="text1"/>
              </w:rPr>
            </w:pPr>
            <w:r>
              <w:rPr>
                <w:color w:val="000000" w:themeColor="text1"/>
              </w:rPr>
              <w:t>Lecture, 3</w:t>
            </w:r>
            <w:r w:rsidR="00C92A1B">
              <w:rPr>
                <w:color w:val="000000" w:themeColor="text1"/>
              </w:rPr>
              <w:t xml:space="preserve"> credits</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400</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pStyle w:val="Default"/>
              <w:rPr>
                <w:rFonts w:asciiTheme="minorHAnsi" w:hAnsiTheme="minorHAnsi" w:cs="Calibri"/>
              </w:rPr>
            </w:pPr>
            <w:r>
              <w:rPr>
                <w:rFonts w:asciiTheme="minorHAnsi" w:hAnsiTheme="minorHAnsi" w:cs="Calibri"/>
              </w:rPr>
              <w:t>FINC 3XX: Essentials of Financial Planning</w:t>
            </w:r>
          </w:p>
        </w:tc>
      </w:tr>
      <w:tr w:rsidR="00C92A1B" w:rsidRPr="002E7E95" w:rsidTr="00EF6616">
        <w:tc>
          <w:tcPr>
            <w:tcW w:w="3627" w:type="dxa"/>
            <w:tcBorders>
              <w:top w:val="single" w:sz="4" w:space="0" w:color="auto"/>
              <w:left w:val="single" w:sz="4" w:space="0" w:color="auto"/>
              <w:bottom w:val="single" w:sz="4" w:space="0" w:color="auto"/>
              <w:right w:val="single" w:sz="4" w:space="0" w:color="auto"/>
            </w:tcBorders>
          </w:tcPr>
          <w:p w:rsidR="00C92A1B" w:rsidRDefault="00C92A1B" w:rsidP="00EF6616">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C92A1B" w:rsidP="00EF6616">
            <w:pPr>
              <w:autoSpaceDE w:val="0"/>
              <w:autoSpaceDN w:val="0"/>
              <w:adjustRightInd w:val="0"/>
              <w:spacing w:after="0" w:line="240" w:lineRule="auto"/>
              <w:rPr>
                <w:rFonts w:cstheme="minorHAnsi"/>
              </w:rPr>
            </w:pPr>
            <w:r>
              <w:rPr>
                <w:rFonts w:cstheme="minorHAnsi"/>
              </w:rPr>
              <w:t>Required for minor in Professional Financial Planning</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751B4" w:rsidP="00D751B4">
            <w:pPr>
              <w:spacing w:after="0" w:line="240" w:lineRule="auto"/>
              <w:rPr>
                <w:rFonts w:cstheme="minorBidi"/>
                <w:color w:val="000000" w:themeColor="text1"/>
              </w:rPr>
            </w:pPr>
            <w:r>
              <w:rPr>
                <w:rFonts w:cstheme="minorBidi"/>
                <w:color w:val="000000" w:themeColor="text1"/>
              </w:rPr>
              <w:t xml:space="preserve">1 section </w:t>
            </w:r>
            <w:r w:rsidR="00C92A1B">
              <w:rPr>
                <w:rFonts w:cstheme="minorBidi"/>
                <w:color w:val="000000" w:themeColor="text1"/>
              </w:rPr>
              <w:t>a semester; 2</w:t>
            </w:r>
            <w:r>
              <w:rPr>
                <w:rFonts w:cstheme="minorBidi"/>
                <w:color w:val="000000" w:themeColor="text1"/>
              </w:rPr>
              <w:t>5 students</w:t>
            </w:r>
            <w:r w:rsidR="004B5DE5">
              <w:rPr>
                <w:rFonts w:cstheme="minorBidi"/>
                <w:color w:val="000000" w:themeColor="text1"/>
              </w:rPr>
              <w:t xml:space="preserve"> maximum enrollment per section</w:t>
            </w:r>
          </w:p>
        </w:tc>
      </w:tr>
    </w:tbl>
    <w:p w:rsidR="00C92A1B" w:rsidRDefault="00C92A1B" w:rsidP="00B56813">
      <w:pPr>
        <w:rPr>
          <w:color w:val="000000" w:themeColor="text1"/>
        </w:rPr>
      </w:pPr>
    </w:p>
    <w:p w:rsidR="00C92A1B" w:rsidRDefault="00C92A1B" w:rsidP="00D751B4">
      <w:pPr>
        <w:ind w:firstLine="720"/>
        <w:rPr>
          <w:color w:val="000000" w:themeColor="text1"/>
        </w:rPr>
      </w:pPr>
      <w:r>
        <w:rPr>
          <w:color w:val="000000" w:themeColor="text1"/>
        </w:rPr>
        <w:t>7.</w:t>
      </w:r>
    </w:p>
    <w:tbl>
      <w:tblPr>
        <w:tblStyle w:val="TableGrid"/>
        <w:tblW w:w="0" w:type="auto"/>
        <w:tblInd w:w="0" w:type="dxa"/>
        <w:tblLook w:val="04A0" w:firstRow="1" w:lastRow="0" w:firstColumn="1" w:lastColumn="0" w:noHBand="0" w:noVBand="1"/>
      </w:tblPr>
      <w:tblGrid>
        <w:gridCol w:w="3627"/>
        <w:gridCol w:w="5723"/>
      </w:tblGrid>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751B4" w:rsidP="00EF6616">
            <w:pPr>
              <w:spacing w:after="0" w:line="240" w:lineRule="auto"/>
              <w:rPr>
                <w:rFonts w:cstheme="minorBidi"/>
                <w:color w:val="000000" w:themeColor="text1"/>
              </w:rPr>
            </w:pPr>
            <w:r>
              <w:rPr>
                <w:rFonts w:ascii="Calibri" w:hAnsi="Calibri" w:cstheme="minorBidi"/>
              </w:rPr>
              <w:t>Scott Fisher</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751B4" w:rsidP="00EF6616">
            <w:pPr>
              <w:spacing w:after="0" w:line="240" w:lineRule="auto"/>
              <w:rPr>
                <w:rFonts w:cstheme="minorBidi"/>
                <w:color w:val="000000" w:themeColor="text1"/>
              </w:rPr>
            </w:pPr>
            <w:r>
              <w:rPr>
                <w:rFonts w:cstheme="minorBidi"/>
                <w:color w:val="000000" w:themeColor="text1"/>
              </w:rPr>
              <w:t>Professional Security Studies</w:t>
            </w:r>
          </w:p>
        </w:tc>
      </w:tr>
      <w:tr w:rsidR="00C92A1B"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751B4" w:rsidP="00D751B4">
            <w:pPr>
              <w:spacing w:after="0" w:line="240" w:lineRule="auto"/>
              <w:rPr>
                <w:rFonts w:eastAsiaTheme="minorEastAsia" w:cstheme="minorBidi"/>
                <w:b/>
              </w:rPr>
            </w:pPr>
            <w:r>
              <w:rPr>
                <w:rFonts w:eastAsiaTheme="minorEastAsia" w:cstheme="minorBidi"/>
                <w:b/>
              </w:rPr>
              <w:t>U.S. National Security Interests in East Asia</w:t>
            </w:r>
          </w:p>
        </w:tc>
      </w:tr>
      <w:tr w:rsidR="00C92A1B" w:rsidRPr="00166B59"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D751B4" w:rsidP="00EF6616">
            <w:pPr>
              <w:spacing w:after="0" w:line="240" w:lineRule="auto"/>
              <w:rPr>
                <w:rFonts w:eastAsiaTheme="minorEastAsia" w:cstheme="minorBidi"/>
              </w:rPr>
            </w:pPr>
            <w:r>
              <w:rPr>
                <w:rFonts w:cs="Arial"/>
                <w:color w:val="000000"/>
              </w:rPr>
              <w:t>Events in East Asia often grab headlines: North Korean nuclear weapons, Chinese hacking, tensions in Korea, Japan-China disputes, and rival claims across the Taiwan Strait. This course familiarizes students with one of the world’s most dynamic regions, then harnesses that knowledge to assess U.S. security interests throughout East Asia.</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3 cr.</w:t>
            </w:r>
          </w:p>
        </w:tc>
      </w:tr>
      <w:tr w:rsidR="00C92A1B" w:rsidTr="00EF6616">
        <w:tc>
          <w:tcPr>
            <w:tcW w:w="3627" w:type="dxa"/>
            <w:tcBorders>
              <w:top w:val="single" w:sz="4" w:space="0" w:color="auto"/>
              <w:left w:val="single" w:sz="4" w:space="0" w:color="auto"/>
              <w:bottom w:val="single" w:sz="4" w:space="0" w:color="auto"/>
              <w:right w:val="single" w:sz="4" w:space="0" w:color="auto"/>
            </w:tcBorders>
          </w:tcPr>
          <w:p w:rsidR="00C92A1B" w:rsidRDefault="00C92A1B" w:rsidP="00EF6616">
            <w:pPr>
              <w:spacing w:after="0" w:line="240" w:lineRule="auto"/>
              <w:rPr>
                <w:color w:val="000000" w:themeColor="text1"/>
              </w:rPr>
            </w:pPr>
            <w:r>
              <w:rPr>
                <w:color w:val="000000" w:themeColor="text1"/>
              </w:rPr>
              <w:t>Course Components</w:t>
            </w:r>
          </w:p>
        </w:tc>
        <w:tc>
          <w:tcPr>
            <w:tcW w:w="5723" w:type="dxa"/>
            <w:tcBorders>
              <w:top w:val="single" w:sz="4" w:space="0" w:color="auto"/>
              <w:left w:val="single" w:sz="4" w:space="0" w:color="auto"/>
              <w:bottom w:val="single" w:sz="4" w:space="0" w:color="auto"/>
              <w:right w:val="single" w:sz="4" w:space="0" w:color="auto"/>
            </w:tcBorders>
          </w:tcPr>
          <w:p w:rsidR="00C92A1B" w:rsidRDefault="004B5DE5" w:rsidP="00EF6616">
            <w:pPr>
              <w:spacing w:after="0" w:line="240" w:lineRule="auto"/>
              <w:rPr>
                <w:color w:val="000000" w:themeColor="text1"/>
              </w:rPr>
            </w:pPr>
            <w:r>
              <w:rPr>
                <w:color w:val="000000" w:themeColor="text1"/>
              </w:rPr>
              <w:t>Lecture, 3 credits</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751B4" w:rsidP="00EF6616">
            <w:pPr>
              <w:spacing w:after="0" w:line="240" w:lineRule="auto"/>
              <w:rPr>
                <w:rFonts w:cstheme="minorBidi"/>
                <w:color w:val="000000" w:themeColor="text1"/>
              </w:rPr>
            </w:pPr>
            <w:r>
              <w:rPr>
                <w:rFonts w:cstheme="minorBidi"/>
                <w:color w:val="000000" w:themeColor="text1"/>
              </w:rPr>
              <w:t>3</w:t>
            </w:r>
            <w:r w:rsidR="00C92A1B">
              <w:rPr>
                <w:rFonts w:cstheme="minorBidi"/>
                <w:color w:val="000000" w:themeColor="text1"/>
              </w:rPr>
              <w:t>00</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751B4" w:rsidP="00EF6616">
            <w:pPr>
              <w:pStyle w:val="Default"/>
              <w:rPr>
                <w:rFonts w:asciiTheme="minorHAnsi" w:hAnsiTheme="minorHAnsi" w:cs="Calibri"/>
              </w:rPr>
            </w:pPr>
            <w:r>
              <w:rPr>
                <w:rFonts w:asciiTheme="minorHAnsi" w:hAnsiTheme="minorHAnsi" w:cs="Calibri"/>
              </w:rPr>
              <w:t>None.</w:t>
            </w:r>
          </w:p>
        </w:tc>
      </w:tr>
      <w:tr w:rsidR="00C92A1B" w:rsidRPr="002E7E95" w:rsidTr="00EF6616">
        <w:tc>
          <w:tcPr>
            <w:tcW w:w="3627" w:type="dxa"/>
            <w:tcBorders>
              <w:top w:val="single" w:sz="4" w:space="0" w:color="auto"/>
              <w:left w:val="single" w:sz="4" w:space="0" w:color="auto"/>
              <w:bottom w:val="single" w:sz="4" w:space="0" w:color="auto"/>
              <w:right w:val="single" w:sz="4" w:space="0" w:color="auto"/>
            </w:tcBorders>
          </w:tcPr>
          <w:p w:rsidR="00C92A1B" w:rsidRDefault="00C92A1B" w:rsidP="00EF6616">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D751B4" w:rsidP="00EF6616">
            <w:pPr>
              <w:autoSpaceDE w:val="0"/>
              <w:autoSpaceDN w:val="0"/>
              <w:adjustRightInd w:val="0"/>
              <w:spacing w:after="0" w:line="240" w:lineRule="auto"/>
              <w:rPr>
                <w:rFonts w:cstheme="minorHAnsi"/>
              </w:rPr>
            </w:pPr>
            <w:r>
              <w:rPr>
                <w:rFonts w:cstheme="minorHAnsi"/>
              </w:rPr>
              <w:t>None.</w:t>
            </w:r>
          </w:p>
        </w:tc>
      </w:tr>
      <w:tr w:rsidR="00C92A1B" w:rsidTr="00EF6616">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EF6616">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D751B4" w:rsidP="00D751B4">
            <w:pPr>
              <w:spacing w:after="0" w:line="240" w:lineRule="auto"/>
              <w:rPr>
                <w:rFonts w:cstheme="minorBidi"/>
                <w:color w:val="000000" w:themeColor="text1"/>
              </w:rPr>
            </w:pPr>
            <w:r>
              <w:rPr>
                <w:rFonts w:cstheme="minorBidi"/>
                <w:color w:val="000000" w:themeColor="text1"/>
              </w:rPr>
              <w:t>1 section</w:t>
            </w:r>
            <w:r w:rsidR="00C92A1B">
              <w:rPr>
                <w:rFonts w:cstheme="minorBidi"/>
                <w:color w:val="000000" w:themeColor="text1"/>
              </w:rPr>
              <w:t xml:space="preserve"> a </w:t>
            </w:r>
            <w:r>
              <w:rPr>
                <w:rFonts w:cstheme="minorBidi"/>
                <w:color w:val="000000" w:themeColor="text1"/>
              </w:rPr>
              <w:t>year</w:t>
            </w:r>
            <w:r w:rsidR="00C92A1B">
              <w:rPr>
                <w:rFonts w:cstheme="minorBidi"/>
                <w:color w:val="000000" w:themeColor="text1"/>
              </w:rPr>
              <w:t xml:space="preserve">; </w:t>
            </w:r>
            <w:r>
              <w:rPr>
                <w:rFonts w:cstheme="minorBidi"/>
                <w:color w:val="000000" w:themeColor="text1"/>
              </w:rPr>
              <w:t>25</w:t>
            </w:r>
            <w:r w:rsidR="00C92A1B">
              <w:rPr>
                <w:rFonts w:cstheme="minorBidi"/>
                <w:color w:val="000000" w:themeColor="text1"/>
              </w:rPr>
              <w:t xml:space="preserve"> students</w:t>
            </w:r>
            <w:r w:rsidR="004B5DE5">
              <w:rPr>
                <w:rFonts w:cstheme="minorBidi"/>
                <w:color w:val="000000" w:themeColor="text1"/>
              </w:rPr>
              <w:t xml:space="preserve"> maximum enrollment per section</w:t>
            </w:r>
          </w:p>
        </w:tc>
      </w:tr>
    </w:tbl>
    <w:p w:rsidR="00FF017A" w:rsidRDefault="00FF017A" w:rsidP="00B56813">
      <w:pPr>
        <w:rPr>
          <w:color w:val="000000" w:themeColor="text1"/>
        </w:rPr>
      </w:pPr>
    </w:p>
    <w:p w:rsidR="00FF017A" w:rsidRDefault="00FF017A" w:rsidP="00CB09A1">
      <w:pPr>
        <w:rPr>
          <w:color w:val="000000" w:themeColor="text1"/>
        </w:rPr>
      </w:pPr>
      <w:r>
        <w:rPr>
          <w:color w:val="000000" w:themeColor="text1"/>
        </w:rPr>
        <w:t>V.</w:t>
      </w:r>
    </w:p>
    <w:p w:rsidR="00514B04" w:rsidRDefault="00FF017A" w:rsidP="00B56813">
      <w:pPr>
        <w:rPr>
          <w:color w:val="000000" w:themeColor="text1"/>
        </w:rPr>
      </w:pPr>
      <w:r>
        <w:rPr>
          <w:color w:val="000000" w:themeColor="text1"/>
        </w:rPr>
        <w:t>The committee approved the proposal</w:t>
      </w:r>
      <w:r w:rsidR="00CB09A1">
        <w:rPr>
          <w:color w:val="000000" w:themeColor="text1"/>
        </w:rPr>
        <w:t>s</w:t>
      </w:r>
      <w:r w:rsidR="001645FE">
        <w:rPr>
          <w:color w:val="000000" w:themeColor="text1"/>
        </w:rPr>
        <w:t>, pending minor edits,</w:t>
      </w:r>
      <w:r>
        <w:rPr>
          <w:color w:val="000000" w:themeColor="text1"/>
        </w:rPr>
        <w:t xml:space="preserve"> </w:t>
      </w:r>
      <w:r w:rsidR="00CB09A1">
        <w:rPr>
          <w:color w:val="000000" w:themeColor="text1"/>
        </w:rPr>
        <w:t>for</w:t>
      </w:r>
      <w:r>
        <w:rPr>
          <w:color w:val="000000" w:themeColor="text1"/>
        </w:rPr>
        <w:t xml:space="preserve"> title and level change</w:t>
      </w:r>
      <w:r w:rsidR="00CB09A1">
        <w:rPr>
          <w:color w:val="000000" w:themeColor="text1"/>
        </w:rPr>
        <w:t>s</w:t>
      </w:r>
      <w:r>
        <w:rPr>
          <w:color w:val="000000" w:themeColor="text1"/>
        </w:rPr>
        <w:t xml:space="preserve"> with pre-requisite modification</w:t>
      </w:r>
      <w:r w:rsidR="00CB09A1">
        <w:rPr>
          <w:color w:val="000000" w:themeColor="text1"/>
        </w:rPr>
        <w:t>s</w:t>
      </w:r>
      <w:r>
        <w:rPr>
          <w:color w:val="000000" w:themeColor="text1"/>
        </w:rPr>
        <w:t xml:space="preserve"> for</w:t>
      </w:r>
      <w:r w:rsidR="00514B04">
        <w:rPr>
          <w:color w:val="000000" w:themeColor="text1"/>
        </w:rPr>
        <w:t xml:space="preserve"> the following courses:</w:t>
      </w:r>
      <w:r>
        <w:rPr>
          <w:color w:val="000000" w:themeColor="text1"/>
        </w:rPr>
        <w:t xml:space="preserve"> </w:t>
      </w:r>
    </w:p>
    <w:p w:rsidR="00FF017A" w:rsidRDefault="00514B04" w:rsidP="00514B04">
      <w:pPr>
        <w:ind w:firstLine="720"/>
        <w:rPr>
          <w:color w:val="000000" w:themeColor="text1"/>
        </w:rPr>
      </w:pPr>
      <w:r>
        <w:rPr>
          <w:color w:val="000000" w:themeColor="text1"/>
        </w:rPr>
        <w:t xml:space="preserve">1. </w:t>
      </w:r>
      <w:r w:rsidR="00FF017A">
        <w:rPr>
          <w:color w:val="000000" w:themeColor="text1"/>
        </w:rPr>
        <w:t>MGMT 243 Global Management:</w:t>
      </w:r>
    </w:p>
    <w:tbl>
      <w:tblPr>
        <w:tblStyle w:val="TableGrid"/>
        <w:tblW w:w="0" w:type="auto"/>
        <w:tblInd w:w="0" w:type="dxa"/>
        <w:tblLook w:val="04A0" w:firstRow="1" w:lastRow="0" w:firstColumn="1" w:lastColumn="0" w:noHBand="0" w:noVBand="1"/>
      </w:tblPr>
      <w:tblGrid>
        <w:gridCol w:w="3627"/>
        <w:gridCol w:w="5723"/>
      </w:tblGrid>
      <w:tr w:rsidR="00FF017A" w:rsidTr="00EF6616">
        <w:tc>
          <w:tcPr>
            <w:tcW w:w="3627"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ascii="Calibri" w:hAnsi="Calibri" w:cstheme="minorBidi"/>
              </w:rPr>
              <w:t>Amit Mokashi</w:t>
            </w:r>
          </w:p>
        </w:tc>
      </w:tr>
      <w:tr w:rsidR="00FF017A" w:rsidTr="00EF6616">
        <w:tc>
          <w:tcPr>
            <w:tcW w:w="3627"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cstheme="minorBidi"/>
                <w:color w:val="000000" w:themeColor="text1"/>
              </w:rPr>
              <w:t>Management</w:t>
            </w:r>
          </w:p>
        </w:tc>
      </w:tr>
      <w:tr w:rsidR="00FF017A"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FF017A" w:rsidRPr="00FF017A" w:rsidRDefault="00FF017A" w:rsidP="00FF017A">
            <w:pPr>
              <w:spacing w:after="0" w:line="240" w:lineRule="auto"/>
              <w:rPr>
                <w:rFonts w:eastAsiaTheme="minorEastAsia" w:cstheme="minorBidi"/>
              </w:rPr>
            </w:pPr>
            <w:r>
              <w:rPr>
                <w:rFonts w:eastAsiaTheme="minorEastAsia" w:cstheme="minorBidi"/>
                <w:b/>
              </w:rPr>
              <w:t>MGMT 5XX: Capstone Seminar in Global Management</w:t>
            </w:r>
            <w:r>
              <w:rPr>
                <w:rFonts w:eastAsiaTheme="minorEastAsia" w:cstheme="minorBidi"/>
              </w:rPr>
              <w:t xml:space="preserve"> (from MGMT 243: Global Management)</w:t>
            </w:r>
          </w:p>
        </w:tc>
      </w:tr>
      <w:tr w:rsidR="00FF017A" w:rsidRPr="00166B59"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FF017A" w:rsidRPr="00166B59" w:rsidRDefault="00FF017A" w:rsidP="00EF6616">
            <w:pPr>
              <w:spacing w:after="0" w:line="240" w:lineRule="auto"/>
              <w:rPr>
                <w:rFonts w:eastAsiaTheme="minorEastAsia" w:cstheme="minorBidi"/>
              </w:rPr>
            </w:pPr>
            <w:r>
              <w:rPr>
                <w:rFonts w:cs="Arial"/>
                <w:color w:val="000000"/>
              </w:rPr>
              <w:t>This course focuses on capstone integration of real organizational situations in the context of global business. Students will evaluate theories of management as applied to business/corporate level strategy, firm performance, and global citizenship (in particular, management of multicultural teams) using case studies.</w:t>
            </w:r>
          </w:p>
        </w:tc>
      </w:tr>
      <w:tr w:rsidR="00FF017A" w:rsidTr="00EF6616">
        <w:tc>
          <w:tcPr>
            <w:tcW w:w="3627"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cstheme="minorBidi"/>
                <w:color w:val="000000" w:themeColor="text1"/>
              </w:rPr>
              <w:t>3 cr.</w:t>
            </w:r>
          </w:p>
        </w:tc>
      </w:tr>
      <w:tr w:rsidR="00FF017A" w:rsidTr="00EF6616">
        <w:tc>
          <w:tcPr>
            <w:tcW w:w="3627" w:type="dxa"/>
            <w:tcBorders>
              <w:top w:val="single" w:sz="4" w:space="0" w:color="auto"/>
              <w:left w:val="single" w:sz="4" w:space="0" w:color="auto"/>
              <w:bottom w:val="single" w:sz="4" w:space="0" w:color="auto"/>
              <w:right w:val="single" w:sz="4" w:space="0" w:color="auto"/>
            </w:tcBorders>
          </w:tcPr>
          <w:p w:rsidR="00FF017A" w:rsidRDefault="00FF017A" w:rsidP="00EF6616">
            <w:pPr>
              <w:spacing w:after="0" w:line="240" w:lineRule="auto"/>
              <w:rPr>
                <w:color w:val="000000" w:themeColor="text1"/>
              </w:rPr>
            </w:pPr>
            <w:r>
              <w:rPr>
                <w:color w:val="000000" w:themeColor="text1"/>
              </w:rPr>
              <w:lastRenderedPageBreak/>
              <w:t>Course Components</w:t>
            </w:r>
          </w:p>
        </w:tc>
        <w:tc>
          <w:tcPr>
            <w:tcW w:w="5723" w:type="dxa"/>
            <w:tcBorders>
              <w:top w:val="single" w:sz="4" w:space="0" w:color="auto"/>
              <w:left w:val="single" w:sz="4" w:space="0" w:color="auto"/>
              <w:bottom w:val="single" w:sz="4" w:space="0" w:color="auto"/>
              <w:right w:val="single" w:sz="4" w:space="0" w:color="auto"/>
            </w:tcBorders>
          </w:tcPr>
          <w:p w:rsidR="00FF017A" w:rsidRDefault="004B5DE5" w:rsidP="00EF6616">
            <w:pPr>
              <w:spacing w:after="0" w:line="240" w:lineRule="auto"/>
              <w:rPr>
                <w:color w:val="000000" w:themeColor="text1"/>
              </w:rPr>
            </w:pPr>
            <w:r>
              <w:rPr>
                <w:color w:val="000000" w:themeColor="text1"/>
              </w:rPr>
              <w:t>Lecture, 3 credits</w:t>
            </w:r>
          </w:p>
        </w:tc>
      </w:tr>
      <w:tr w:rsidR="00FF017A" w:rsidTr="00EF6616">
        <w:tc>
          <w:tcPr>
            <w:tcW w:w="3627"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cstheme="minorBidi"/>
                <w:color w:val="000000" w:themeColor="text1"/>
              </w:rPr>
              <w:t>500 (from 200)</w:t>
            </w:r>
          </w:p>
        </w:tc>
      </w:tr>
      <w:tr w:rsidR="00FF017A" w:rsidTr="00EF6616">
        <w:tc>
          <w:tcPr>
            <w:tcW w:w="3627"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FF017A" w:rsidRDefault="00FF017A" w:rsidP="00EF6616">
            <w:pPr>
              <w:pStyle w:val="Default"/>
              <w:rPr>
                <w:rFonts w:asciiTheme="minorHAnsi" w:hAnsiTheme="minorHAnsi" w:cs="Calibri"/>
              </w:rPr>
            </w:pPr>
            <w:r>
              <w:rPr>
                <w:rFonts w:asciiTheme="minorHAnsi" w:hAnsiTheme="minorHAnsi" w:cs="Calibri"/>
              </w:rPr>
              <w:t>MGMT 211 (existing) and MGMT 241 (new addition)</w:t>
            </w:r>
          </w:p>
        </w:tc>
      </w:tr>
      <w:tr w:rsidR="00FF017A" w:rsidRPr="002E7E95" w:rsidTr="00EF6616">
        <w:tc>
          <w:tcPr>
            <w:tcW w:w="3627" w:type="dxa"/>
            <w:tcBorders>
              <w:top w:val="single" w:sz="4" w:space="0" w:color="auto"/>
              <w:left w:val="single" w:sz="4" w:space="0" w:color="auto"/>
              <w:bottom w:val="single" w:sz="4" w:space="0" w:color="auto"/>
              <w:right w:val="single" w:sz="4" w:space="0" w:color="auto"/>
            </w:tcBorders>
          </w:tcPr>
          <w:p w:rsidR="00FF017A" w:rsidRDefault="00FF017A" w:rsidP="00EF6616">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FF017A" w:rsidRPr="002E7E95" w:rsidRDefault="00FF017A" w:rsidP="00EF6616">
            <w:pPr>
              <w:autoSpaceDE w:val="0"/>
              <w:autoSpaceDN w:val="0"/>
              <w:adjustRightInd w:val="0"/>
              <w:spacing w:after="0" w:line="240" w:lineRule="auto"/>
              <w:rPr>
                <w:rFonts w:cstheme="minorHAnsi"/>
              </w:rPr>
            </w:pPr>
            <w:r>
              <w:rPr>
                <w:rFonts w:cstheme="minorHAnsi"/>
              </w:rPr>
              <w:t>Required for B.S. in Global Business</w:t>
            </w:r>
          </w:p>
        </w:tc>
      </w:tr>
      <w:tr w:rsidR="00FF017A" w:rsidTr="00EF6616">
        <w:tc>
          <w:tcPr>
            <w:tcW w:w="3627" w:type="dxa"/>
            <w:tcBorders>
              <w:top w:val="single" w:sz="4" w:space="0" w:color="auto"/>
              <w:left w:val="single" w:sz="4" w:space="0" w:color="auto"/>
              <w:bottom w:val="single" w:sz="4" w:space="0" w:color="auto"/>
              <w:right w:val="single" w:sz="4" w:space="0" w:color="auto"/>
            </w:tcBorders>
            <w:hideMark/>
          </w:tcPr>
          <w:p w:rsidR="00FF017A" w:rsidRDefault="00FF017A" w:rsidP="00EF6616">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FF017A" w:rsidRDefault="00FF017A" w:rsidP="00FF017A">
            <w:pPr>
              <w:spacing w:after="0" w:line="240" w:lineRule="auto"/>
              <w:rPr>
                <w:rFonts w:cstheme="minorBidi"/>
                <w:color w:val="000000" w:themeColor="text1"/>
              </w:rPr>
            </w:pPr>
            <w:r>
              <w:rPr>
                <w:rFonts w:cstheme="minorBidi"/>
                <w:color w:val="000000" w:themeColor="text1"/>
              </w:rPr>
              <w:t>1 section every term; 25 students</w:t>
            </w:r>
            <w:r w:rsidR="004B5DE5">
              <w:rPr>
                <w:rFonts w:cstheme="minorBidi"/>
                <w:color w:val="000000" w:themeColor="text1"/>
              </w:rPr>
              <w:t xml:space="preserve"> maximum enrollment per section</w:t>
            </w:r>
          </w:p>
        </w:tc>
      </w:tr>
    </w:tbl>
    <w:p w:rsidR="00FF017A" w:rsidRDefault="00FF017A" w:rsidP="00B56813">
      <w:pPr>
        <w:rPr>
          <w:color w:val="000000" w:themeColor="text1"/>
        </w:rPr>
      </w:pPr>
    </w:p>
    <w:p w:rsidR="00514B04" w:rsidRDefault="00514B04" w:rsidP="00B56813">
      <w:pPr>
        <w:rPr>
          <w:color w:val="000000" w:themeColor="text1"/>
        </w:rPr>
      </w:pPr>
      <w:r>
        <w:rPr>
          <w:color w:val="000000" w:themeColor="text1"/>
        </w:rPr>
        <w:tab/>
        <w:t>2. BUSI 272 Investment Principles &amp; Analysis:</w:t>
      </w:r>
    </w:p>
    <w:tbl>
      <w:tblPr>
        <w:tblStyle w:val="TableGrid"/>
        <w:tblW w:w="0" w:type="auto"/>
        <w:tblInd w:w="0" w:type="dxa"/>
        <w:tblLook w:val="04A0" w:firstRow="1" w:lastRow="0" w:firstColumn="1" w:lastColumn="0" w:noHBand="0" w:noVBand="1"/>
      </w:tblPr>
      <w:tblGrid>
        <w:gridCol w:w="3627"/>
        <w:gridCol w:w="5723"/>
      </w:tblGrid>
      <w:tr w:rsidR="00514B04" w:rsidTr="00EF6616">
        <w:tc>
          <w:tcPr>
            <w:tcW w:w="3627"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ascii="Calibri" w:hAnsi="Calibri" w:cstheme="minorBidi"/>
              </w:rPr>
              <w:t>Rick Mayell</w:t>
            </w:r>
          </w:p>
        </w:tc>
      </w:tr>
      <w:tr w:rsidR="00514B04" w:rsidTr="00EF6616">
        <w:tc>
          <w:tcPr>
            <w:tcW w:w="3627"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cstheme="minorBidi"/>
                <w:color w:val="000000" w:themeColor="text1"/>
              </w:rPr>
              <w:t>Finance and Real Estate</w:t>
            </w:r>
          </w:p>
        </w:tc>
      </w:tr>
      <w:tr w:rsidR="00514B04"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514B04" w:rsidRPr="00514B04" w:rsidRDefault="00514B04" w:rsidP="00EF6616">
            <w:pPr>
              <w:spacing w:after="0" w:line="240" w:lineRule="auto"/>
              <w:rPr>
                <w:rFonts w:eastAsiaTheme="minorEastAsia" w:cstheme="minorBidi"/>
              </w:rPr>
            </w:pPr>
            <w:r>
              <w:rPr>
                <w:rFonts w:eastAsiaTheme="minorEastAsia" w:cstheme="minorBidi"/>
                <w:b/>
              </w:rPr>
              <w:t>FINC 3XX: Investment Principles for Financial Planning</w:t>
            </w:r>
            <w:r>
              <w:rPr>
                <w:rFonts w:eastAsiaTheme="minorEastAsia" w:cstheme="minorBidi"/>
              </w:rPr>
              <w:t xml:space="preserve"> (from BUSI 272: Investment Principles &amp; Analysis)</w:t>
            </w:r>
          </w:p>
        </w:tc>
      </w:tr>
      <w:tr w:rsidR="00514B04" w:rsidRPr="00166B59" w:rsidTr="00EF6616">
        <w:trPr>
          <w:trHeight w:val="377"/>
        </w:trPr>
        <w:tc>
          <w:tcPr>
            <w:tcW w:w="3627"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514B04" w:rsidRPr="00166B59" w:rsidRDefault="00514B04" w:rsidP="00EF6616">
            <w:pPr>
              <w:spacing w:after="0" w:line="240" w:lineRule="auto"/>
              <w:rPr>
                <w:rFonts w:eastAsiaTheme="minorEastAsia" w:cstheme="minorBidi"/>
              </w:rPr>
            </w:pPr>
            <w:r>
              <w:rPr>
                <w:rFonts w:cs="Arial"/>
                <w:color w:val="000000"/>
              </w:rPr>
              <w:t>This course presents investment planning concepts, integrated with the techniques of securities analysis and portfolio management, in the context of the financial planning process. Topics include risk and return measurement, traditional investments, alternative investment choices, valuation techniques, modern portfolio theory, asset allocation, and portfolio performance evaluation.</w:t>
            </w:r>
          </w:p>
        </w:tc>
      </w:tr>
      <w:tr w:rsidR="00514B04" w:rsidTr="00EF6616">
        <w:tc>
          <w:tcPr>
            <w:tcW w:w="3627"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cstheme="minorBidi"/>
                <w:color w:val="000000" w:themeColor="text1"/>
              </w:rPr>
              <w:t>3 cr.</w:t>
            </w:r>
          </w:p>
        </w:tc>
      </w:tr>
      <w:tr w:rsidR="004B5DE5" w:rsidTr="00EF6616">
        <w:tc>
          <w:tcPr>
            <w:tcW w:w="3627" w:type="dxa"/>
            <w:tcBorders>
              <w:top w:val="single" w:sz="4" w:space="0" w:color="auto"/>
              <w:left w:val="single" w:sz="4" w:space="0" w:color="auto"/>
              <w:bottom w:val="single" w:sz="4" w:space="0" w:color="auto"/>
              <w:right w:val="single" w:sz="4" w:space="0" w:color="auto"/>
            </w:tcBorders>
          </w:tcPr>
          <w:p w:rsidR="004B5DE5" w:rsidRDefault="004B5DE5" w:rsidP="00EF6616">
            <w:pPr>
              <w:spacing w:after="0" w:line="240" w:lineRule="auto"/>
              <w:rPr>
                <w:color w:val="000000" w:themeColor="text1"/>
              </w:rPr>
            </w:pPr>
            <w:r>
              <w:rPr>
                <w:color w:val="000000" w:themeColor="text1"/>
              </w:rPr>
              <w:t>Course Components</w:t>
            </w:r>
          </w:p>
        </w:tc>
        <w:tc>
          <w:tcPr>
            <w:tcW w:w="5723" w:type="dxa"/>
            <w:tcBorders>
              <w:top w:val="single" w:sz="4" w:space="0" w:color="auto"/>
              <w:left w:val="single" w:sz="4" w:space="0" w:color="auto"/>
              <w:bottom w:val="single" w:sz="4" w:space="0" w:color="auto"/>
              <w:right w:val="single" w:sz="4" w:space="0" w:color="auto"/>
            </w:tcBorders>
          </w:tcPr>
          <w:p w:rsidR="004B5DE5" w:rsidRDefault="004B5DE5" w:rsidP="00EF6616">
            <w:pPr>
              <w:spacing w:after="0" w:line="240" w:lineRule="auto"/>
              <w:rPr>
                <w:color w:val="000000" w:themeColor="text1"/>
              </w:rPr>
            </w:pPr>
            <w:r>
              <w:rPr>
                <w:color w:val="000000" w:themeColor="text1"/>
              </w:rPr>
              <w:t>Lecture, 3 credits</w:t>
            </w:r>
          </w:p>
        </w:tc>
      </w:tr>
      <w:tr w:rsidR="00514B04" w:rsidTr="00EF6616">
        <w:tc>
          <w:tcPr>
            <w:tcW w:w="3627"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cstheme="minorBidi"/>
                <w:color w:val="000000" w:themeColor="text1"/>
              </w:rPr>
              <w:t>300</w:t>
            </w:r>
            <w:r w:rsidR="00656B14">
              <w:rPr>
                <w:rFonts w:cstheme="minorBidi"/>
                <w:color w:val="000000" w:themeColor="text1"/>
              </w:rPr>
              <w:t xml:space="preserve"> (from 200)</w:t>
            </w:r>
            <w:r>
              <w:rPr>
                <w:rFonts w:cstheme="minorBidi"/>
                <w:color w:val="000000" w:themeColor="text1"/>
              </w:rPr>
              <w:t xml:space="preserve"> </w:t>
            </w:r>
          </w:p>
        </w:tc>
      </w:tr>
      <w:tr w:rsidR="00514B04" w:rsidTr="00EF6616">
        <w:tc>
          <w:tcPr>
            <w:tcW w:w="3627"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514B04" w:rsidRDefault="00656B14" w:rsidP="00EF6616">
            <w:pPr>
              <w:pStyle w:val="Default"/>
              <w:rPr>
                <w:rFonts w:asciiTheme="minorHAnsi" w:hAnsiTheme="minorHAnsi" w:cs="Calibri"/>
              </w:rPr>
            </w:pPr>
            <w:r>
              <w:rPr>
                <w:rFonts w:asciiTheme="minorHAnsi" w:hAnsiTheme="minorHAnsi" w:cs="Calibri"/>
              </w:rPr>
              <w:t>FINC 3XX Essentials of Financial Planning or FINC 371 Managerial Finance</w:t>
            </w:r>
          </w:p>
        </w:tc>
      </w:tr>
      <w:tr w:rsidR="00514B04" w:rsidRPr="002E7E95" w:rsidTr="00EF6616">
        <w:tc>
          <w:tcPr>
            <w:tcW w:w="3627" w:type="dxa"/>
            <w:tcBorders>
              <w:top w:val="single" w:sz="4" w:space="0" w:color="auto"/>
              <w:left w:val="single" w:sz="4" w:space="0" w:color="auto"/>
              <w:bottom w:val="single" w:sz="4" w:space="0" w:color="auto"/>
              <w:right w:val="single" w:sz="4" w:space="0" w:color="auto"/>
            </w:tcBorders>
          </w:tcPr>
          <w:p w:rsidR="00514B04" w:rsidRDefault="00514B04" w:rsidP="00EF6616">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514B04" w:rsidRPr="002E7E95" w:rsidRDefault="00656B14" w:rsidP="00EF6616">
            <w:pPr>
              <w:autoSpaceDE w:val="0"/>
              <w:autoSpaceDN w:val="0"/>
              <w:adjustRightInd w:val="0"/>
              <w:spacing w:after="0" w:line="240" w:lineRule="auto"/>
              <w:rPr>
                <w:rFonts w:cstheme="minorHAnsi"/>
              </w:rPr>
            </w:pPr>
            <w:r>
              <w:rPr>
                <w:rFonts w:cstheme="minorHAnsi"/>
              </w:rPr>
              <w:t>Required for baccalaureate degree in Finance or minor in Financial Planning</w:t>
            </w:r>
          </w:p>
        </w:tc>
      </w:tr>
      <w:tr w:rsidR="00514B04" w:rsidTr="00EF6616">
        <w:tc>
          <w:tcPr>
            <w:tcW w:w="3627" w:type="dxa"/>
            <w:tcBorders>
              <w:top w:val="single" w:sz="4" w:space="0" w:color="auto"/>
              <w:left w:val="single" w:sz="4" w:space="0" w:color="auto"/>
              <w:bottom w:val="single" w:sz="4" w:space="0" w:color="auto"/>
              <w:right w:val="single" w:sz="4" w:space="0" w:color="auto"/>
            </w:tcBorders>
            <w:hideMark/>
          </w:tcPr>
          <w:p w:rsidR="00514B04" w:rsidRDefault="00514B04" w:rsidP="00EF6616">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514B04" w:rsidRDefault="00656B14" w:rsidP="00EF6616">
            <w:pPr>
              <w:spacing w:after="0" w:line="240" w:lineRule="auto"/>
              <w:rPr>
                <w:rFonts w:cstheme="minorBidi"/>
                <w:color w:val="000000" w:themeColor="text1"/>
              </w:rPr>
            </w:pPr>
            <w:r>
              <w:rPr>
                <w:rFonts w:cstheme="minorBidi"/>
                <w:color w:val="000000" w:themeColor="text1"/>
              </w:rPr>
              <w:t>1 section a semester</w:t>
            </w:r>
            <w:r w:rsidR="00514B04">
              <w:rPr>
                <w:rFonts w:cstheme="minorBidi"/>
                <w:color w:val="000000" w:themeColor="text1"/>
              </w:rPr>
              <w:t>; 25 students</w:t>
            </w:r>
            <w:r w:rsidR="004B5DE5">
              <w:rPr>
                <w:rFonts w:cstheme="minorBidi"/>
                <w:color w:val="000000" w:themeColor="text1"/>
              </w:rPr>
              <w:t xml:space="preserve"> maximum enrollment per section</w:t>
            </w:r>
          </w:p>
        </w:tc>
      </w:tr>
    </w:tbl>
    <w:p w:rsidR="00514B04" w:rsidRDefault="00514B04" w:rsidP="00B56813">
      <w:pPr>
        <w:rPr>
          <w:color w:val="000000" w:themeColor="text1"/>
        </w:rPr>
      </w:pPr>
    </w:p>
    <w:p w:rsidR="00FF017A" w:rsidRDefault="00FF017A" w:rsidP="00B56813">
      <w:pPr>
        <w:rPr>
          <w:color w:val="000000" w:themeColor="text1"/>
        </w:rPr>
      </w:pPr>
      <w:r>
        <w:rPr>
          <w:color w:val="000000" w:themeColor="text1"/>
        </w:rPr>
        <w:t>V</w:t>
      </w:r>
      <w:r w:rsidR="00B03238">
        <w:rPr>
          <w:color w:val="000000" w:themeColor="text1"/>
        </w:rPr>
        <w:t>I</w:t>
      </w:r>
      <w:r>
        <w:rPr>
          <w:color w:val="000000" w:themeColor="text1"/>
        </w:rPr>
        <w:t>.</w:t>
      </w:r>
    </w:p>
    <w:p w:rsidR="00FF017A" w:rsidRDefault="00FF017A" w:rsidP="00B56813">
      <w:pPr>
        <w:rPr>
          <w:color w:val="000000" w:themeColor="text1"/>
        </w:rPr>
      </w:pPr>
      <w:r>
        <w:rPr>
          <w:color w:val="000000" w:themeColor="text1"/>
        </w:rPr>
        <w:t>The committee approved the proposal for a change in credits for LTED 350: Early Childhood Reading and Language from 2 to 3.</w:t>
      </w:r>
    </w:p>
    <w:sectPr w:rsidR="00FF017A" w:rsidSect="004C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6A31"/>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9206A4"/>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4D"/>
    <w:rsid w:val="00072F52"/>
    <w:rsid w:val="001645FE"/>
    <w:rsid w:val="00166B59"/>
    <w:rsid w:val="001E6DA8"/>
    <w:rsid w:val="00284A2D"/>
    <w:rsid w:val="002D51D9"/>
    <w:rsid w:val="002E7E95"/>
    <w:rsid w:val="003D56E2"/>
    <w:rsid w:val="00446664"/>
    <w:rsid w:val="004766B6"/>
    <w:rsid w:val="004B5DE5"/>
    <w:rsid w:val="004C3889"/>
    <w:rsid w:val="00514B04"/>
    <w:rsid w:val="00651735"/>
    <w:rsid w:val="00655802"/>
    <w:rsid w:val="00656B14"/>
    <w:rsid w:val="007C77DB"/>
    <w:rsid w:val="008333F5"/>
    <w:rsid w:val="008479DA"/>
    <w:rsid w:val="00922FB9"/>
    <w:rsid w:val="00AF24AE"/>
    <w:rsid w:val="00B03238"/>
    <w:rsid w:val="00B56813"/>
    <w:rsid w:val="00C26E4D"/>
    <w:rsid w:val="00C92A1B"/>
    <w:rsid w:val="00CB09A1"/>
    <w:rsid w:val="00CE3127"/>
    <w:rsid w:val="00D751B4"/>
    <w:rsid w:val="00D970A6"/>
    <w:rsid w:val="00EB0DFA"/>
    <w:rsid w:val="00F03D46"/>
    <w:rsid w:val="00FF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D3F33-DD35-944E-A65C-506B8E7E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4D"/>
    <w:pPr>
      <w:ind w:left="720"/>
      <w:contextualSpacing/>
    </w:pPr>
  </w:style>
  <w:style w:type="paragraph" w:customStyle="1" w:styleId="Default">
    <w:name w:val="Default"/>
    <w:rsid w:val="00C26E4D"/>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26E4D"/>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25354">
      <w:bodyDiv w:val="1"/>
      <w:marLeft w:val="0"/>
      <w:marRight w:val="0"/>
      <w:marTop w:val="0"/>
      <w:marBottom w:val="0"/>
      <w:divBdr>
        <w:top w:val="none" w:sz="0" w:space="0" w:color="auto"/>
        <w:left w:val="none" w:sz="0" w:space="0" w:color="auto"/>
        <w:bottom w:val="none" w:sz="0" w:space="0" w:color="auto"/>
        <w:right w:val="none" w:sz="0" w:space="0" w:color="auto"/>
      </w:divBdr>
    </w:div>
    <w:div w:id="8991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Arrigo</dc:creator>
  <cp:keywords/>
  <dc:description/>
  <cp:lastModifiedBy>Michael Rotenberg-Schwartz</cp:lastModifiedBy>
  <cp:revision>8</cp:revision>
  <dcterms:created xsi:type="dcterms:W3CDTF">2019-09-13T16:29:00Z</dcterms:created>
  <dcterms:modified xsi:type="dcterms:W3CDTF">2019-09-16T16:33:00Z</dcterms:modified>
</cp:coreProperties>
</file>