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19697" w14:textId="77777777" w:rsidR="008F243F" w:rsidRPr="008F243F" w:rsidRDefault="008F243F" w:rsidP="008F243F">
      <w:pPr>
        <w:jc w:val="center"/>
        <w:rPr>
          <w:b/>
          <w:sz w:val="20"/>
          <w:szCs w:val="20"/>
        </w:rPr>
      </w:pPr>
      <w:r w:rsidRPr="008F243F">
        <w:rPr>
          <w:b/>
          <w:sz w:val="20"/>
          <w:szCs w:val="20"/>
        </w:rPr>
        <w:t>Assessment of Student Learning in General Education</w:t>
      </w:r>
    </w:p>
    <w:p w14:paraId="0F3AD3AF" w14:textId="77777777" w:rsidR="008F243F" w:rsidRPr="008F243F" w:rsidRDefault="008F243F" w:rsidP="008F243F">
      <w:pPr>
        <w:jc w:val="center"/>
        <w:rPr>
          <w:b/>
          <w:sz w:val="20"/>
          <w:szCs w:val="20"/>
        </w:rPr>
      </w:pPr>
      <w:r w:rsidRPr="008F243F">
        <w:rPr>
          <w:b/>
          <w:sz w:val="20"/>
          <w:szCs w:val="20"/>
        </w:rPr>
        <w:t>Fall 2015 Results</w:t>
      </w:r>
    </w:p>
    <w:p w14:paraId="45170C59" w14:textId="77777777" w:rsidR="008F243F" w:rsidRDefault="008F243F" w:rsidP="00150B9C">
      <w:pPr>
        <w:rPr>
          <w:sz w:val="20"/>
          <w:szCs w:val="20"/>
        </w:rPr>
      </w:pPr>
    </w:p>
    <w:p w14:paraId="7FDB8BC5" w14:textId="20ADC092" w:rsidR="00150B9C" w:rsidRPr="00150B9C" w:rsidRDefault="00150B9C" w:rsidP="00150B9C">
      <w:pPr>
        <w:rPr>
          <w:sz w:val="20"/>
          <w:szCs w:val="20"/>
        </w:rPr>
      </w:pPr>
      <w:r w:rsidRPr="00150B9C">
        <w:rPr>
          <w:sz w:val="20"/>
          <w:szCs w:val="20"/>
        </w:rPr>
        <w:t xml:space="preserve">The NJCU General Education program assesses student achievement of the six University-wide student learning goals. Each course includes instruction in, and assessment of, two of these learning goals, requiring students to complete end-of-semester signature assignments that demonstrate achievement of the covered learning goals. The program utilizes </w:t>
      </w:r>
      <w:r>
        <w:rPr>
          <w:sz w:val="20"/>
          <w:szCs w:val="20"/>
        </w:rPr>
        <w:t xml:space="preserve">the </w:t>
      </w:r>
      <w:r w:rsidRPr="00150B9C">
        <w:rPr>
          <w:sz w:val="20"/>
          <w:szCs w:val="20"/>
        </w:rPr>
        <w:t xml:space="preserve">Tk20 </w:t>
      </w:r>
      <w:r w:rsidR="00751B73">
        <w:rPr>
          <w:sz w:val="20"/>
          <w:szCs w:val="20"/>
        </w:rPr>
        <w:t xml:space="preserve">website </w:t>
      </w:r>
      <w:r w:rsidRPr="00150B9C">
        <w:rPr>
          <w:sz w:val="20"/>
          <w:szCs w:val="20"/>
        </w:rPr>
        <w:t xml:space="preserve">to collect “signature” assignments uploaded by students. These assignments are distributed to assessment team members who score them using the appropriate General Education rubrics. While assessment team rubric scores do not impact grades, signature assignments are also graded by course instructors and contribute to the final course grades determined by instructors. </w:t>
      </w:r>
    </w:p>
    <w:p w14:paraId="67DF3861" w14:textId="77777777" w:rsidR="00751B73" w:rsidRDefault="00751B73" w:rsidP="00150B9C">
      <w:pPr>
        <w:rPr>
          <w:sz w:val="20"/>
          <w:szCs w:val="20"/>
        </w:rPr>
      </w:pPr>
    </w:p>
    <w:p w14:paraId="15BFB491" w14:textId="1462709C" w:rsidR="00FA564E" w:rsidRDefault="00CD5A69" w:rsidP="00150B9C">
      <w:pPr>
        <w:rPr>
          <w:sz w:val="20"/>
          <w:szCs w:val="20"/>
        </w:rPr>
      </w:pPr>
      <w:r>
        <w:rPr>
          <w:sz w:val="20"/>
          <w:szCs w:val="20"/>
        </w:rPr>
        <w:t>The</w:t>
      </w:r>
      <w:r w:rsidR="00150B9C" w:rsidRPr="00150B9C">
        <w:rPr>
          <w:sz w:val="20"/>
          <w:szCs w:val="20"/>
        </w:rPr>
        <w:t xml:space="preserve"> </w:t>
      </w:r>
      <w:r w:rsidR="008F6E59">
        <w:rPr>
          <w:sz w:val="20"/>
          <w:szCs w:val="20"/>
        </w:rPr>
        <w:t xml:space="preserve">assessment </w:t>
      </w:r>
      <w:r w:rsidR="00150B9C" w:rsidRPr="00150B9C">
        <w:rPr>
          <w:sz w:val="20"/>
          <w:szCs w:val="20"/>
        </w:rPr>
        <w:t xml:space="preserve">report </w:t>
      </w:r>
      <w:r>
        <w:rPr>
          <w:sz w:val="20"/>
          <w:szCs w:val="20"/>
        </w:rPr>
        <w:t xml:space="preserve">provides </w:t>
      </w:r>
      <w:r w:rsidR="00150B9C" w:rsidRPr="00150B9C">
        <w:rPr>
          <w:sz w:val="20"/>
          <w:szCs w:val="20"/>
        </w:rPr>
        <w:t xml:space="preserve">the results of </w:t>
      </w:r>
      <w:proofErr w:type="gramStart"/>
      <w:r w:rsidR="00150B9C" w:rsidRPr="00150B9C">
        <w:rPr>
          <w:sz w:val="20"/>
          <w:szCs w:val="20"/>
        </w:rPr>
        <w:t>Fall</w:t>
      </w:r>
      <w:proofErr w:type="gramEnd"/>
      <w:r w:rsidR="00150B9C" w:rsidRPr="00150B9C">
        <w:rPr>
          <w:sz w:val="20"/>
          <w:szCs w:val="20"/>
        </w:rPr>
        <w:t xml:space="preserve"> 2015 assessment activities, in which three of the six University-wide student learning goals were assessed: Critical Thinking and Problem-Solving, Oral Communication, and Written Communication. </w:t>
      </w:r>
      <w:r w:rsidR="008F6E59">
        <w:rPr>
          <w:sz w:val="20"/>
          <w:szCs w:val="20"/>
        </w:rPr>
        <w:t xml:space="preserve">The present document includes </w:t>
      </w:r>
      <w:r w:rsidR="00150B9C" w:rsidRPr="00150B9C">
        <w:rPr>
          <w:sz w:val="20"/>
          <w:szCs w:val="20"/>
        </w:rPr>
        <w:t>a summary of key findings</w:t>
      </w:r>
      <w:r w:rsidR="001F29BA">
        <w:rPr>
          <w:sz w:val="20"/>
          <w:szCs w:val="20"/>
        </w:rPr>
        <w:t>. D</w:t>
      </w:r>
      <w:r w:rsidR="00150B9C" w:rsidRPr="00150B9C">
        <w:rPr>
          <w:sz w:val="20"/>
          <w:szCs w:val="20"/>
        </w:rPr>
        <w:t>etailed assessment data for each learning goal, observations and reflections, and qualitative feedback from assessment team members and General Education faculty</w:t>
      </w:r>
      <w:r w:rsidR="001F29BA">
        <w:rPr>
          <w:sz w:val="20"/>
          <w:szCs w:val="20"/>
        </w:rPr>
        <w:t xml:space="preserve"> are available </w:t>
      </w:r>
      <w:r w:rsidR="00435044">
        <w:rPr>
          <w:sz w:val="20"/>
          <w:szCs w:val="20"/>
        </w:rPr>
        <w:t xml:space="preserve">in the full report accessible via the </w:t>
      </w:r>
      <w:r w:rsidR="00915560">
        <w:rPr>
          <w:sz w:val="20"/>
          <w:szCs w:val="20"/>
        </w:rPr>
        <w:t>Gen</w:t>
      </w:r>
      <w:r w:rsidR="00617325">
        <w:rPr>
          <w:sz w:val="20"/>
          <w:szCs w:val="20"/>
        </w:rPr>
        <w:t>eral</w:t>
      </w:r>
      <w:r w:rsidR="00915560">
        <w:rPr>
          <w:sz w:val="20"/>
          <w:szCs w:val="20"/>
        </w:rPr>
        <w:t xml:space="preserve"> Ed</w:t>
      </w:r>
      <w:r w:rsidR="00617325">
        <w:rPr>
          <w:sz w:val="20"/>
          <w:szCs w:val="20"/>
        </w:rPr>
        <w:t>ucation</w:t>
      </w:r>
      <w:r w:rsidR="00915560">
        <w:rPr>
          <w:sz w:val="20"/>
          <w:szCs w:val="20"/>
        </w:rPr>
        <w:t xml:space="preserve"> Assessment link </w:t>
      </w:r>
      <w:r w:rsidR="00783E95">
        <w:rPr>
          <w:sz w:val="20"/>
          <w:szCs w:val="20"/>
        </w:rPr>
        <w:t xml:space="preserve">on </w:t>
      </w:r>
      <w:proofErr w:type="spellStart"/>
      <w:r w:rsidR="00783E95">
        <w:rPr>
          <w:sz w:val="20"/>
          <w:szCs w:val="20"/>
        </w:rPr>
        <w:t>GothicNet</w:t>
      </w:r>
      <w:proofErr w:type="spellEnd"/>
      <w:r w:rsidR="00915560">
        <w:rPr>
          <w:sz w:val="20"/>
          <w:szCs w:val="20"/>
        </w:rPr>
        <w:t>.</w:t>
      </w:r>
      <w:r w:rsidR="00FA564E">
        <w:rPr>
          <w:sz w:val="20"/>
          <w:szCs w:val="20"/>
        </w:rPr>
        <w:t xml:space="preserve"> </w:t>
      </w:r>
    </w:p>
    <w:p w14:paraId="60B8D36B" w14:textId="77777777" w:rsidR="005E551D" w:rsidRDefault="005E551D">
      <w:pPr>
        <w:rPr>
          <w:sz w:val="20"/>
          <w:szCs w:val="20"/>
        </w:rPr>
      </w:pPr>
    </w:p>
    <w:p w14:paraId="19E5928A" w14:textId="065494BF" w:rsidR="00B25296" w:rsidRDefault="005E551D" w:rsidP="005A3E27">
      <w:pPr>
        <w:rPr>
          <w:sz w:val="20"/>
          <w:szCs w:val="20"/>
        </w:rPr>
      </w:pPr>
      <w:r>
        <w:rPr>
          <w:sz w:val="20"/>
          <w:szCs w:val="20"/>
        </w:rPr>
        <w:t xml:space="preserve">The key </w:t>
      </w:r>
      <w:r w:rsidR="005A3E27" w:rsidRPr="00150B9C">
        <w:rPr>
          <w:sz w:val="20"/>
          <w:szCs w:val="20"/>
        </w:rPr>
        <w:t>findings</w:t>
      </w:r>
      <w:r>
        <w:rPr>
          <w:sz w:val="20"/>
          <w:szCs w:val="20"/>
        </w:rPr>
        <w:t xml:space="preserve"> </w:t>
      </w:r>
      <w:r w:rsidR="00FA564E">
        <w:rPr>
          <w:sz w:val="20"/>
          <w:szCs w:val="20"/>
        </w:rPr>
        <w:t xml:space="preserve">of Fall 2015 programmatic assessment of General Education are </w:t>
      </w:r>
      <w:r>
        <w:rPr>
          <w:sz w:val="20"/>
          <w:szCs w:val="20"/>
        </w:rPr>
        <w:t xml:space="preserve">that student achievement of </w:t>
      </w:r>
      <w:r w:rsidR="00FA564E">
        <w:rPr>
          <w:sz w:val="20"/>
          <w:szCs w:val="20"/>
        </w:rPr>
        <w:t xml:space="preserve">the </w:t>
      </w:r>
      <w:r>
        <w:rPr>
          <w:sz w:val="20"/>
          <w:szCs w:val="20"/>
        </w:rPr>
        <w:t xml:space="preserve">outcomes associated with </w:t>
      </w:r>
      <w:r w:rsidR="00FA564E" w:rsidRPr="00FA564E">
        <w:rPr>
          <w:sz w:val="20"/>
          <w:szCs w:val="20"/>
        </w:rPr>
        <w:t xml:space="preserve">Critical Thinking and Problem-Solving, Oral Communication, and Written Communication </w:t>
      </w:r>
      <w:r>
        <w:rPr>
          <w:sz w:val="20"/>
          <w:szCs w:val="20"/>
        </w:rPr>
        <w:t>is</w:t>
      </w:r>
      <w:r w:rsidR="00091671">
        <w:rPr>
          <w:sz w:val="20"/>
          <w:szCs w:val="20"/>
        </w:rPr>
        <w:t>,</w:t>
      </w:r>
      <w:r>
        <w:rPr>
          <w:sz w:val="20"/>
          <w:szCs w:val="20"/>
        </w:rPr>
        <w:t xml:space="preserve"> </w:t>
      </w:r>
      <w:r w:rsidR="00091671">
        <w:rPr>
          <w:sz w:val="20"/>
          <w:szCs w:val="20"/>
        </w:rPr>
        <w:t xml:space="preserve">on average, </w:t>
      </w:r>
      <w:r>
        <w:rPr>
          <w:sz w:val="20"/>
          <w:szCs w:val="20"/>
        </w:rPr>
        <w:t>relatively close</w:t>
      </w:r>
      <w:r w:rsidR="00091671">
        <w:rPr>
          <w:sz w:val="20"/>
          <w:szCs w:val="20"/>
        </w:rPr>
        <w:t>,</w:t>
      </w:r>
      <w:r>
        <w:rPr>
          <w:sz w:val="20"/>
          <w:szCs w:val="20"/>
        </w:rPr>
        <w:t xml:space="preserve"> although t</w:t>
      </w:r>
      <w:r w:rsidR="005A3E27" w:rsidRPr="00150B9C">
        <w:rPr>
          <w:sz w:val="20"/>
          <w:szCs w:val="20"/>
        </w:rPr>
        <w:t xml:space="preserve">here are </w:t>
      </w:r>
      <w:r>
        <w:rPr>
          <w:sz w:val="20"/>
          <w:szCs w:val="20"/>
        </w:rPr>
        <w:t xml:space="preserve">significant </w:t>
      </w:r>
      <w:r w:rsidR="005A3E27" w:rsidRPr="00150B9C">
        <w:rPr>
          <w:sz w:val="20"/>
          <w:szCs w:val="20"/>
        </w:rPr>
        <w:t>differences in achievement among the specific outcomes</w:t>
      </w:r>
      <w:r>
        <w:rPr>
          <w:sz w:val="20"/>
          <w:szCs w:val="20"/>
        </w:rPr>
        <w:t xml:space="preserve"> (dimensions</w:t>
      </w:r>
      <w:r w:rsidR="005A3E27" w:rsidRPr="00150B9C">
        <w:rPr>
          <w:sz w:val="20"/>
          <w:szCs w:val="20"/>
        </w:rPr>
        <w:t>) for each</w:t>
      </w:r>
      <w:r>
        <w:rPr>
          <w:sz w:val="20"/>
          <w:szCs w:val="20"/>
        </w:rPr>
        <w:t xml:space="preserve"> learning goal. </w:t>
      </w:r>
      <w:r w:rsidR="00AE1629">
        <w:rPr>
          <w:sz w:val="20"/>
          <w:szCs w:val="20"/>
        </w:rPr>
        <w:t xml:space="preserve">These indicate a need for increased attention to certain aspects of each of the learning goals on which students performed less well. </w:t>
      </w:r>
      <w:r>
        <w:rPr>
          <w:sz w:val="20"/>
          <w:szCs w:val="20"/>
        </w:rPr>
        <w:t>In other words, t</w:t>
      </w:r>
      <w:r w:rsidR="005A3E27" w:rsidRPr="00150B9C">
        <w:rPr>
          <w:sz w:val="20"/>
          <w:szCs w:val="20"/>
        </w:rPr>
        <w:t xml:space="preserve">here are </w:t>
      </w:r>
      <w:r w:rsidR="00C204AF">
        <w:rPr>
          <w:sz w:val="20"/>
          <w:szCs w:val="20"/>
        </w:rPr>
        <w:t xml:space="preserve">important </w:t>
      </w:r>
      <w:r w:rsidR="005A3E27" w:rsidRPr="00150B9C">
        <w:rPr>
          <w:sz w:val="20"/>
          <w:szCs w:val="20"/>
        </w:rPr>
        <w:t>variations within the overall findings</w:t>
      </w:r>
      <w:r w:rsidR="00C204AF">
        <w:rPr>
          <w:sz w:val="20"/>
          <w:szCs w:val="20"/>
        </w:rPr>
        <w:t xml:space="preserve"> that </w:t>
      </w:r>
      <w:r w:rsidR="00825A78">
        <w:rPr>
          <w:sz w:val="20"/>
          <w:szCs w:val="20"/>
        </w:rPr>
        <w:t xml:space="preserve">must </w:t>
      </w:r>
      <w:r w:rsidR="00C204AF">
        <w:rPr>
          <w:sz w:val="20"/>
          <w:szCs w:val="20"/>
        </w:rPr>
        <w:t xml:space="preserve">inform </w:t>
      </w:r>
      <w:r w:rsidR="00AE1629">
        <w:rPr>
          <w:sz w:val="20"/>
          <w:szCs w:val="20"/>
        </w:rPr>
        <w:t xml:space="preserve">collective </w:t>
      </w:r>
      <w:r w:rsidR="00EF66D5">
        <w:rPr>
          <w:sz w:val="20"/>
          <w:szCs w:val="20"/>
        </w:rPr>
        <w:t xml:space="preserve">efforts </w:t>
      </w:r>
      <w:r w:rsidR="009939FD">
        <w:rPr>
          <w:sz w:val="20"/>
          <w:szCs w:val="20"/>
        </w:rPr>
        <w:t xml:space="preserve">to improve student learning in </w:t>
      </w:r>
      <w:r w:rsidR="00EF66D5">
        <w:rPr>
          <w:sz w:val="20"/>
          <w:szCs w:val="20"/>
        </w:rPr>
        <w:t>Gen</w:t>
      </w:r>
      <w:r w:rsidR="00AE1629">
        <w:rPr>
          <w:sz w:val="20"/>
          <w:szCs w:val="20"/>
        </w:rPr>
        <w:t>eral</w:t>
      </w:r>
      <w:r w:rsidR="00EF66D5">
        <w:rPr>
          <w:sz w:val="20"/>
          <w:szCs w:val="20"/>
        </w:rPr>
        <w:t xml:space="preserve"> Ed</w:t>
      </w:r>
      <w:r w:rsidR="00AE1629">
        <w:rPr>
          <w:sz w:val="20"/>
          <w:szCs w:val="20"/>
        </w:rPr>
        <w:t>ucation</w:t>
      </w:r>
      <w:r w:rsidR="00EF66D5">
        <w:rPr>
          <w:sz w:val="20"/>
          <w:szCs w:val="20"/>
        </w:rPr>
        <w:t xml:space="preserve"> </w:t>
      </w:r>
      <w:r w:rsidR="009939FD">
        <w:rPr>
          <w:sz w:val="20"/>
          <w:szCs w:val="20"/>
        </w:rPr>
        <w:t>courses at NJCU</w:t>
      </w:r>
      <w:r w:rsidR="005A3E27" w:rsidRPr="00150B9C">
        <w:rPr>
          <w:sz w:val="20"/>
          <w:szCs w:val="20"/>
        </w:rPr>
        <w:t xml:space="preserve">. </w:t>
      </w:r>
    </w:p>
    <w:p w14:paraId="515345E7" w14:textId="77777777" w:rsidR="00F107A7" w:rsidRDefault="00F107A7" w:rsidP="005A3E27">
      <w:pPr>
        <w:rPr>
          <w:sz w:val="20"/>
          <w:szCs w:val="20"/>
        </w:rPr>
      </w:pPr>
    </w:p>
    <w:p w14:paraId="79D29980" w14:textId="77777777" w:rsidR="00FA564E" w:rsidRPr="00C84633" w:rsidRDefault="00FA564E" w:rsidP="00FA564E">
      <w:pPr>
        <w:jc w:val="center"/>
        <w:rPr>
          <w:b/>
          <w:sz w:val="20"/>
          <w:szCs w:val="20"/>
        </w:rPr>
      </w:pPr>
      <w:r w:rsidRPr="00C84633">
        <w:rPr>
          <w:b/>
          <w:sz w:val="20"/>
          <w:szCs w:val="20"/>
        </w:rPr>
        <w:t>Tier 1 Overview</w:t>
      </w:r>
    </w:p>
    <w:p w14:paraId="1F57CE7F" w14:textId="77777777" w:rsidR="00FA564E" w:rsidRPr="00C84633" w:rsidRDefault="00FA564E" w:rsidP="00FA564E">
      <w:pPr>
        <w:rPr>
          <w:sz w:val="20"/>
          <w:szCs w:val="20"/>
        </w:rPr>
      </w:pPr>
    </w:p>
    <w:p w14:paraId="06998F85" w14:textId="021059D9" w:rsidR="00FA564E" w:rsidRPr="00C84633" w:rsidRDefault="00FA564E" w:rsidP="00FA564E">
      <w:pPr>
        <w:rPr>
          <w:sz w:val="20"/>
          <w:szCs w:val="20"/>
        </w:rPr>
      </w:pPr>
      <w:r w:rsidRPr="00C84633">
        <w:rPr>
          <w:sz w:val="20"/>
          <w:szCs w:val="20"/>
        </w:rPr>
        <w:t xml:space="preserve">The first three tables below show how many students </w:t>
      </w:r>
      <w:r w:rsidR="00B20583">
        <w:rPr>
          <w:sz w:val="20"/>
          <w:szCs w:val="20"/>
        </w:rPr>
        <w:t xml:space="preserve">in Tier 1 courses </w:t>
      </w:r>
      <w:r w:rsidRPr="00C84633">
        <w:rPr>
          <w:sz w:val="20"/>
          <w:szCs w:val="20"/>
        </w:rPr>
        <w:t>achieved the Tier 1 level</w:t>
      </w:r>
      <w:r w:rsidR="00B20583">
        <w:rPr>
          <w:sz w:val="20"/>
          <w:szCs w:val="20"/>
        </w:rPr>
        <w:t xml:space="preserve"> of proficiency</w:t>
      </w:r>
      <w:r w:rsidRPr="00C84633">
        <w:rPr>
          <w:sz w:val="20"/>
          <w:szCs w:val="20"/>
        </w:rPr>
        <w:t xml:space="preserve">, fell below the Tier 1 level, and fell below Benchmark for the three learning goals assessed in </w:t>
      </w:r>
      <w:proofErr w:type="gramStart"/>
      <w:r w:rsidRPr="00C84633">
        <w:rPr>
          <w:sz w:val="20"/>
          <w:szCs w:val="20"/>
        </w:rPr>
        <w:t>Fall</w:t>
      </w:r>
      <w:proofErr w:type="gramEnd"/>
      <w:r w:rsidRPr="00C84633">
        <w:rPr>
          <w:sz w:val="20"/>
          <w:szCs w:val="20"/>
        </w:rPr>
        <w:t xml:space="preserve"> 2015. </w:t>
      </w:r>
      <w:r w:rsidR="00B20583">
        <w:rPr>
          <w:sz w:val="20"/>
          <w:szCs w:val="20"/>
        </w:rPr>
        <w:t>Note that t</w:t>
      </w:r>
      <w:r w:rsidRPr="00C84633">
        <w:rPr>
          <w:sz w:val="20"/>
          <w:szCs w:val="20"/>
        </w:rPr>
        <w:t>he percentage “Below Benchmark” is also included in the percentage “Below Tier 1” (which explains why the total of each row adds up to more than 100%):</w:t>
      </w:r>
    </w:p>
    <w:p w14:paraId="6370AC1F" w14:textId="77777777" w:rsidR="00FA564E" w:rsidRPr="00E86469" w:rsidRDefault="00FA564E" w:rsidP="00FA564E">
      <w:pPr>
        <w:rPr>
          <w:sz w:val="24"/>
          <w:szCs w:val="24"/>
        </w:rPr>
      </w:pPr>
    </w:p>
    <w:tbl>
      <w:tblPr>
        <w:tblW w:w="9195" w:type="dxa"/>
        <w:tblInd w:w="93" w:type="dxa"/>
        <w:tblLayout w:type="fixed"/>
        <w:tblLook w:val="04A0" w:firstRow="1" w:lastRow="0" w:firstColumn="1" w:lastColumn="0" w:noHBand="0" w:noVBand="1"/>
      </w:tblPr>
      <w:tblGrid>
        <w:gridCol w:w="1455"/>
        <w:gridCol w:w="1350"/>
        <w:gridCol w:w="3330"/>
        <w:gridCol w:w="3060"/>
      </w:tblGrid>
      <w:tr w:rsidR="00FA564E" w:rsidRPr="00B90AAA" w14:paraId="2333FE07" w14:textId="77777777" w:rsidTr="00121E69">
        <w:trPr>
          <w:trHeight w:val="360"/>
        </w:trPr>
        <w:tc>
          <w:tcPr>
            <w:tcW w:w="919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4881253" w14:textId="77777777" w:rsidR="00FA564E" w:rsidRPr="001F785E" w:rsidRDefault="00FA564E" w:rsidP="00FA564E">
            <w:pPr>
              <w:jc w:val="center"/>
              <w:rPr>
                <w:rFonts w:eastAsia="Times New Roman" w:cs="Times New Roman"/>
                <w:b/>
                <w:bCs/>
                <w:color w:val="000000"/>
                <w:sz w:val="20"/>
                <w:szCs w:val="20"/>
              </w:rPr>
            </w:pPr>
            <w:r w:rsidRPr="001F785E">
              <w:rPr>
                <w:rFonts w:eastAsia="Times New Roman" w:cs="Times New Roman"/>
                <w:b/>
                <w:bCs/>
                <w:color w:val="000000"/>
                <w:sz w:val="20"/>
                <w:szCs w:val="20"/>
              </w:rPr>
              <w:t>Critical Thinking, Tier 1</w:t>
            </w:r>
          </w:p>
        </w:tc>
      </w:tr>
      <w:tr w:rsidR="00121E69" w:rsidRPr="00B90AAA" w14:paraId="65F5E51A" w14:textId="77777777" w:rsidTr="00121E69">
        <w:trPr>
          <w:trHeight w:val="350"/>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1CA52065"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05D891F8"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 xml:space="preserve">Tier 1 or Above </w:t>
            </w:r>
          </w:p>
        </w:tc>
        <w:tc>
          <w:tcPr>
            <w:tcW w:w="3330" w:type="dxa"/>
            <w:tcBorders>
              <w:top w:val="nil"/>
              <w:left w:val="nil"/>
              <w:bottom w:val="single" w:sz="4" w:space="0" w:color="auto"/>
              <w:right w:val="single" w:sz="4" w:space="0" w:color="auto"/>
            </w:tcBorders>
            <w:shd w:val="clear" w:color="auto" w:fill="auto"/>
            <w:vAlign w:val="bottom"/>
            <w:hideMark/>
          </w:tcPr>
          <w:p w14:paraId="0D278913" w14:textId="70B5B2E1" w:rsidR="00FA564E" w:rsidRPr="00B90AAA" w:rsidRDefault="00FA564E" w:rsidP="00450F60">
            <w:pPr>
              <w:jc w:val="center"/>
              <w:rPr>
                <w:rFonts w:eastAsia="Times New Roman" w:cs="Times New Roman"/>
                <w:color w:val="000000"/>
                <w:sz w:val="20"/>
                <w:szCs w:val="20"/>
              </w:rPr>
            </w:pPr>
            <w:r w:rsidRPr="00B90AAA">
              <w:rPr>
                <w:rFonts w:eastAsia="Times New Roman" w:cs="Times New Roman"/>
                <w:color w:val="000000"/>
                <w:sz w:val="20"/>
                <w:szCs w:val="20"/>
              </w:rPr>
              <w:t>Below Tier 1</w:t>
            </w:r>
          </w:p>
        </w:tc>
        <w:tc>
          <w:tcPr>
            <w:tcW w:w="3060" w:type="dxa"/>
            <w:tcBorders>
              <w:top w:val="single" w:sz="4" w:space="0" w:color="auto"/>
              <w:left w:val="nil"/>
              <w:bottom w:val="single" w:sz="4" w:space="0" w:color="auto"/>
              <w:right w:val="single" w:sz="4" w:space="0" w:color="auto"/>
            </w:tcBorders>
            <w:shd w:val="clear" w:color="auto" w:fill="B3B3B3"/>
            <w:vAlign w:val="bottom"/>
            <w:hideMark/>
          </w:tcPr>
          <w:p w14:paraId="40C25DAB" w14:textId="77777777" w:rsidR="00FA564E"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Below Benchmark</w:t>
            </w:r>
          </w:p>
          <w:p w14:paraId="7B9032B3" w14:textId="77777777" w:rsidR="00FA564E" w:rsidRPr="00B90AAA" w:rsidRDefault="00FA564E" w:rsidP="00FA564E">
            <w:pPr>
              <w:jc w:val="center"/>
              <w:rPr>
                <w:rFonts w:eastAsia="Times New Roman" w:cs="Times New Roman"/>
                <w:color w:val="000000"/>
                <w:sz w:val="20"/>
                <w:szCs w:val="20"/>
              </w:rPr>
            </w:pPr>
            <w:r>
              <w:rPr>
                <w:rFonts w:eastAsia="Times New Roman" w:cs="Times New Roman"/>
                <w:color w:val="000000"/>
                <w:sz w:val="20"/>
                <w:szCs w:val="20"/>
              </w:rPr>
              <w:t>(Also counted in “Below Tier 1”)</w:t>
            </w:r>
          </w:p>
        </w:tc>
      </w:tr>
      <w:tr w:rsidR="00121E69" w:rsidRPr="00B90AAA" w14:paraId="7729681E" w14:textId="77777777" w:rsidTr="00121E69">
        <w:trPr>
          <w:trHeight w:val="560"/>
        </w:trPr>
        <w:tc>
          <w:tcPr>
            <w:tcW w:w="1455" w:type="dxa"/>
            <w:tcBorders>
              <w:top w:val="nil"/>
              <w:left w:val="single" w:sz="4" w:space="0" w:color="auto"/>
              <w:bottom w:val="single" w:sz="4" w:space="0" w:color="auto"/>
              <w:right w:val="single" w:sz="4" w:space="0" w:color="auto"/>
            </w:tcBorders>
            <w:shd w:val="clear" w:color="auto" w:fill="auto"/>
            <w:vAlign w:val="center"/>
            <w:hideMark/>
          </w:tcPr>
          <w:p w14:paraId="2562FBD3"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Average Across Dimensions</w:t>
            </w:r>
          </w:p>
        </w:tc>
        <w:tc>
          <w:tcPr>
            <w:tcW w:w="1350" w:type="dxa"/>
            <w:tcBorders>
              <w:top w:val="nil"/>
              <w:left w:val="nil"/>
              <w:bottom w:val="single" w:sz="4" w:space="0" w:color="auto"/>
              <w:right w:val="single" w:sz="4" w:space="0" w:color="auto"/>
            </w:tcBorders>
            <w:shd w:val="clear" w:color="auto" w:fill="auto"/>
            <w:noWrap/>
            <w:vAlign w:val="center"/>
            <w:hideMark/>
          </w:tcPr>
          <w:p w14:paraId="61639E46"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58%</w:t>
            </w:r>
          </w:p>
        </w:tc>
        <w:tc>
          <w:tcPr>
            <w:tcW w:w="3330" w:type="dxa"/>
            <w:tcBorders>
              <w:top w:val="nil"/>
              <w:left w:val="nil"/>
              <w:bottom w:val="single" w:sz="4" w:space="0" w:color="auto"/>
              <w:right w:val="single" w:sz="4" w:space="0" w:color="auto"/>
            </w:tcBorders>
            <w:shd w:val="clear" w:color="auto" w:fill="auto"/>
            <w:noWrap/>
            <w:vAlign w:val="center"/>
            <w:hideMark/>
          </w:tcPr>
          <w:p w14:paraId="45BBCE5A"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42%</w:t>
            </w:r>
          </w:p>
        </w:tc>
        <w:tc>
          <w:tcPr>
            <w:tcW w:w="3060" w:type="dxa"/>
            <w:tcBorders>
              <w:top w:val="single" w:sz="4" w:space="0" w:color="auto"/>
              <w:left w:val="nil"/>
              <w:bottom w:val="single" w:sz="4" w:space="0" w:color="auto"/>
              <w:right w:val="single" w:sz="4" w:space="0" w:color="auto"/>
            </w:tcBorders>
            <w:shd w:val="clear" w:color="auto" w:fill="B3B3B3"/>
            <w:noWrap/>
            <w:vAlign w:val="center"/>
            <w:hideMark/>
          </w:tcPr>
          <w:p w14:paraId="50E83440"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8%</w:t>
            </w:r>
          </w:p>
        </w:tc>
      </w:tr>
      <w:tr w:rsidR="00121E69" w:rsidRPr="00B90AAA" w14:paraId="0B35019D" w14:textId="77777777" w:rsidTr="00121E69">
        <w:trPr>
          <w:trHeight w:val="360"/>
        </w:trPr>
        <w:tc>
          <w:tcPr>
            <w:tcW w:w="1455" w:type="dxa"/>
            <w:tcBorders>
              <w:top w:val="nil"/>
              <w:left w:val="nil"/>
              <w:bottom w:val="nil"/>
              <w:right w:val="nil"/>
            </w:tcBorders>
            <w:shd w:val="clear" w:color="auto" w:fill="auto"/>
            <w:vAlign w:val="bottom"/>
            <w:hideMark/>
          </w:tcPr>
          <w:p w14:paraId="0A8C442F" w14:textId="77777777" w:rsidR="00FA564E" w:rsidRPr="00B90AAA" w:rsidRDefault="00FA564E" w:rsidP="00FA564E">
            <w:pPr>
              <w:rPr>
                <w:rFonts w:eastAsia="Times New Roman" w:cs="Times New Roman"/>
                <w:color w:val="000000"/>
                <w:sz w:val="20"/>
                <w:szCs w:val="20"/>
              </w:rPr>
            </w:pPr>
          </w:p>
        </w:tc>
        <w:tc>
          <w:tcPr>
            <w:tcW w:w="1350" w:type="dxa"/>
            <w:tcBorders>
              <w:top w:val="nil"/>
              <w:left w:val="nil"/>
              <w:bottom w:val="nil"/>
              <w:right w:val="nil"/>
            </w:tcBorders>
            <w:shd w:val="clear" w:color="auto" w:fill="auto"/>
            <w:noWrap/>
            <w:vAlign w:val="center"/>
            <w:hideMark/>
          </w:tcPr>
          <w:p w14:paraId="42206729" w14:textId="77777777" w:rsidR="00FA564E" w:rsidRPr="00B90AAA" w:rsidRDefault="00FA564E" w:rsidP="00FA564E">
            <w:pPr>
              <w:jc w:val="center"/>
              <w:rPr>
                <w:rFonts w:eastAsia="Times New Roman" w:cs="Times New Roman"/>
                <w:color w:val="000000"/>
                <w:sz w:val="20"/>
                <w:szCs w:val="20"/>
              </w:rPr>
            </w:pPr>
          </w:p>
        </w:tc>
        <w:tc>
          <w:tcPr>
            <w:tcW w:w="3330" w:type="dxa"/>
            <w:tcBorders>
              <w:top w:val="nil"/>
              <w:left w:val="nil"/>
              <w:bottom w:val="nil"/>
              <w:right w:val="nil"/>
            </w:tcBorders>
            <w:shd w:val="clear" w:color="auto" w:fill="auto"/>
            <w:noWrap/>
            <w:vAlign w:val="center"/>
            <w:hideMark/>
          </w:tcPr>
          <w:p w14:paraId="7022708D" w14:textId="77777777" w:rsidR="00FA564E" w:rsidRPr="00B90AAA" w:rsidRDefault="00FA564E" w:rsidP="00FA564E">
            <w:pPr>
              <w:jc w:val="center"/>
              <w:rPr>
                <w:rFonts w:eastAsia="Times New Roman" w:cs="Times New Roman"/>
                <w:color w:val="000000"/>
                <w:sz w:val="20"/>
                <w:szCs w:val="20"/>
              </w:rPr>
            </w:pPr>
          </w:p>
        </w:tc>
        <w:tc>
          <w:tcPr>
            <w:tcW w:w="3060" w:type="dxa"/>
            <w:tcBorders>
              <w:top w:val="nil"/>
              <w:left w:val="nil"/>
              <w:bottom w:val="nil"/>
              <w:right w:val="nil"/>
            </w:tcBorders>
            <w:shd w:val="clear" w:color="auto" w:fill="auto"/>
            <w:noWrap/>
            <w:vAlign w:val="center"/>
            <w:hideMark/>
          </w:tcPr>
          <w:p w14:paraId="7444B732" w14:textId="77777777" w:rsidR="00FA564E" w:rsidRPr="00B90AAA" w:rsidRDefault="00FA564E" w:rsidP="00FA564E">
            <w:pPr>
              <w:jc w:val="center"/>
              <w:rPr>
                <w:rFonts w:eastAsia="Times New Roman" w:cs="Times New Roman"/>
                <w:color w:val="000000"/>
                <w:sz w:val="20"/>
                <w:szCs w:val="20"/>
              </w:rPr>
            </w:pPr>
          </w:p>
        </w:tc>
      </w:tr>
      <w:tr w:rsidR="00FA564E" w:rsidRPr="00B90AAA" w14:paraId="03ED1D87" w14:textId="77777777" w:rsidTr="00121E69">
        <w:trPr>
          <w:trHeight w:val="360"/>
        </w:trPr>
        <w:tc>
          <w:tcPr>
            <w:tcW w:w="919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B8B8EAC" w14:textId="77777777" w:rsidR="00FA564E" w:rsidRPr="001F785E" w:rsidRDefault="00FA564E" w:rsidP="00FA564E">
            <w:pPr>
              <w:jc w:val="center"/>
              <w:rPr>
                <w:rFonts w:eastAsia="Times New Roman" w:cs="Times New Roman"/>
                <w:b/>
                <w:bCs/>
                <w:color w:val="000000"/>
                <w:sz w:val="20"/>
                <w:szCs w:val="20"/>
              </w:rPr>
            </w:pPr>
            <w:r w:rsidRPr="001F785E">
              <w:rPr>
                <w:rFonts w:eastAsia="Times New Roman" w:cs="Times New Roman"/>
                <w:b/>
                <w:bCs/>
                <w:color w:val="000000"/>
                <w:sz w:val="20"/>
                <w:szCs w:val="20"/>
              </w:rPr>
              <w:t>Oral Communication, Tier 1</w:t>
            </w:r>
          </w:p>
        </w:tc>
      </w:tr>
      <w:tr w:rsidR="00121E69" w:rsidRPr="00B90AAA" w14:paraId="4767898A" w14:textId="77777777" w:rsidTr="00121E69">
        <w:trPr>
          <w:trHeight w:val="341"/>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3A926AA2"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1E11913C"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 xml:space="preserve">Tier 1 or Above </w:t>
            </w:r>
          </w:p>
        </w:tc>
        <w:tc>
          <w:tcPr>
            <w:tcW w:w="3330" w:type="dxa"/>
            <w:tcBorders>
              <w:top w:val="nil"/>
              <w:left w:val="nil"/>
              <w:bottom w:val="single" w:sz="4" w:space="0" w:color="auto"/>
              <w:right w:val="single" w:sz="4" w:space="0" w:color="auto"/>
            </w:tcBorders>
            <w:shd w:val="clear" w:color="auto" w:fill="auto"/>
            <w:vAlign w:val="bottom"/>
            <w:hideMark/>
          </w:tcPr>
          <w:p w14:paraId="6FC29652" w14:textId="5D7049AC" w:rsidR="00FA564E" w:rsidRPr="00B90AAA" w:rsidRDefault="00FA564E" w:rsidP="00450F60">
            <w:pPr>
              <w:jc w:val="center"/>
              <w:rPr>
                <w:rFonts w:eastAsia="Times New Roman" w:cs="Times New Roman"/>
                <w:color w:val="000000"/>
                <w:sz w:val="20"/>
                <w:szCs w:val="20"/>
              </w:rPr>
            </w:pPr>
            <w:r w:rsidRPr="00B90AAA">
              <w:rPr>
                <w:rFonts w:eastAsia="Times New Roman" w:cs="Times New Roman"/>
                <w:color w:val="000000"/>
                <w:sz w:val="20"/>
                <w:szCs w:val="20"/>
              </w:rPr>
              <w:t>Below Tier 1</w:t>
            </w:r>
          </w:p>
        </w:tc>
        <w:tc>
          <w:tcPr>
            <w:tcW w:w="3060" w:type="dxa"/>
            <w:tcBorders>
              <w:top w:val="single" w:sz="4" w:space="0" w:color="auto"/>
              <w:left w:val="nil"/>
              <w:bottom w:val="single" w:sz="4" w:space="0" w:color="auto"/>
              <w:right w:val="single" w:sz="4" w:space="0" w:color="auto"/>
            </w:tcBorders>
            <w:shd w:val="clear" w:color="auto" w:fill="B3B3B3"/>
            <w:vAlign w:val="bottom"/>
            <w:hideMark/>
          </w:tcPr>
          <w:p w14:paraId="170DB1D1" w14:textId="77777777" w:rsidR="00FA564E"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Below Benchmark</w:t>
            </w:r>
          </w:p>
          <w:p w14:paraId="036B534E" w14:textId="77777777" w:rsidR="00FA564E" w:rsidRPr="00B90AAA" w:rsidRDefault="00FA564E" w:rsidP="00FA564E">
            <w:pPr>
              <w:jc w:val="center"/>
              <w:rPr>
                <w:rFonts w:eastAsia="Times New Roman" w:cs="Times New Roman"/>
                <w:color w:val="000000"/>
                <w:sz w:val="20"/>
                <w:szCs w:val="20"/>
              </w:rPr>
            </w:pPr>
            <w:r>
              <w:rPr>
                <w:rFonts w:eastAsia="Times New Roman" w:cs="Times New Roman"/>
                <w:color w:val="000000"/>
                <w:sz w:val="20"/>
                <w:szCs w:val="20"/>
              </w:rPr>
              <w:t>(Also counted in “Below Tier 1”)</w:t>
            </w:r>
          </w:p>
        </w:tc>
      </w:tr>
      <w:tr w:rsidR="00121E69" w:rsidRPr="00B90AAA" w14:paraId="5CBDC628" w14:textId="77777777" w:rsidTr="00121E69">
        <w:trPr>
          <w:trHeight w:val="560"/>
        </w:trPr>
        <w:tc>
          <w:tcPr>
            <w:tcW w:w="1455" w:type="dxa"/>
            <w:tcBorders>
              <w:top w:val="nil"/>
              <w:left w:val="single" w:sz="4" w:space="0" w:color="auto"/>
              <w:bottom w:val="single" w:sz="4" w:space="0" w:color="auto"/>
              <w:right w:val="single" w:sz="4" w:space="0" w:color="auto"/>
            </w:tcBorders>
            <w:shd w:val="clear" w:color="auto" w:fill="auto"/>
            <w:vAlign w:val="center"/>
            <w:hideMark/>
          </w:tcPr>
          <w:p w14:paraId="6A14416E"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Average Across Dimensions</w:t>
            </w:r>
          </w:p>
        </w:tc>
        <w:tc>
          <w:tcPr>
            <w:tcW w:w="1350" w:type="dxa"/>
            <w:tcBorders>
              <w:top w:val="nil"/>
              <w:left w:val="nil"/>
              <w:bottom w:val="single" w:sz="4" w:space="0" w:color="auto"/>
              <w:right w:val="single" w:sz="4" w:space="0" w:color="auto"/>
            </w:tcBorders>
            <w:shd w:val="clear" w:color="auto" w:fill="auto"/>
            <w:noWrap/>
            <w:vAlign w:val="center"/>
            <w:hideMark/>
          </w:tcPr>
          <w:p w14:paraId="261F120C"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60%</w:t>
            </w:r>
          </w:p>
        </w:tc>
        <w:tc>
          <w:tcPr>
            <w:tcW w:w="3330" w:type="dxa"/>
            <w:tcBorders>
              <w:top w:val="nil"/>
              <w:left w:val="nil"/>
              <w:bottom w:val="single" w:sz="4" w:space="0" w:color="auto"/>
              <w:right w:val="single" w:sz="4" w:space="0" w:color="auto"/>
            </w:tcBorders>
            <w:shd w:val="clear" w:color="auto" w:fill="auto"/>
            <w:noWrap/>
            <w:vAlign w:val="center"/>
            <w:hideMark/>
          </w:tcPr>
          <w:p w14:paraId="11041E38"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40%</w:t>
            </w:r>
          </w:p>
        </w:tc>
        <w:tc>
          <w:tcPr>
            <w:tcW w:w="3060" w:type="dxa"/>
            <w:tcBorders>
              <w:top w:val="single" w:sz="4" w:space="0" w:color="auto"/>
              <w:left w:val="nil"/>
              <w:bottom w:val="single" w:sz="4" w:space="0" w:color="auto"/>
              <w:right w:val="single" w:sz="4" w:space="0" w:color="auto"/>
            </w:tcBorders>
            <w:shd w:val="clear" w:color="auto" w:fill="B3B3B3"/>
            <w:noWrap/>
            <w:vAlign w:val="center"/>
            <w:hideMark/>
          </w:tcPr>
          <w:p w14:paraId="6608053C"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20%</w:t>
            </w:r>
          </w:p>
        </w:tc>
      </w:tr>
      <w:tr w:rsidR="00121E69" w:rsidRPr="00B90AAA" w14:paraId="5E3C2AEF" w14:textId="77777777" w:rsidTr="00121E69">
        <w:trPr>
          <w:trHeight w:val="280"/>
        </w:trPr>
        <w:tc>
          <w:tcPr>
            <w:tcW w:w="1455" w:type="dxa"/>
            <w:tcBorders>
              <w:top w:val="nil"/>
              <w:left w:val="nil"/>
              <w:bottom w:val="nil"/>
              <w:right w:val="nil"/>
            </w:tcBorders>
            <w:shd w:val="clear" w:color="auto" w:fill="auto"/>
            <w:vAlign w:val="bottom"/>
            <w:hideMark/>
          </w:tcPr>
          <w:p w14:paraId="7767D3EE" w14:textId="77777777" w:rsidR="00FA564E" w:rsidRPr="00B90AAA" w:rsidRDefault="00FA564E" w:rsidP="00FA564E">
            <w:pPr>
              <w:rPr>
                <w:rFonts w:eastAsia="Times New Roman" w:cs="Times New Roman"/>
                <w:color w:val="000000"/>
                <w:sz w:val="20"/>
                <w:szCs w:val="20"/>
              </w:rPr>
            </w:pPr>
          </w:p>
        </w:tc>
        <w:tc>
          <w:tcPr>
            <w:tcW w:w="1350" w:type="dxa"/>
            <w:tcBorders>
              <w:top w:val="nil"/>
              <w:left w:val="nil"/>
              <w:bottom w:val="nil"/>
              <w:right w:val="nil"/>
            </w:tcBorders>
            <w:shd w:val="clear" w:color="auto" w:fill="auto"/>
            <w:noWrap/>
            <w:vAlign w:val="center"/>
            <w:hideMark/>
          </w:tcPr>
          <w:p w14:paraId="653A44C6" w14:textId="77777777" w:rsidR="00FA564E" w:rsidRPr="00B90AAA" w:rsidRDefault="00FA564E" w:rsidP="00FA564E">
            <w:pPr>
              <w:jc w:val="center"/>
              <w:rPr>
                <w:rFonts w:eastAsia="Times New Roman" w:cs="Times New Roman"/>
                <w:color w:val="000000"/>
                <w:sz w:val="20"/>
                <w:szCs w:val="20"/>
              </w:rPr>
            </w:pPr>
          </w:p>
        </w:tc>
        <w:tc>
          <w:tcPr>
            <w:tcW w:w="3330" w:type="dxa"/>
            <w:tcBorders>
              <w:top w:val="nil"/>
              <w:left w:val="nil"/>
              <w:bottom w:val="nil"/>
              <w:right w:val="nil"/>
            </w:tcBorders>
            <w:shd w:val="clear" w:color="auto" w:fill="auto"/>
            <w:noWrap/>
            <w:vAlign w:val="center"/>
            <w:hideMark/>
          </w:tcPr>
          <w:p w14:paraId="076D4EC1" w14:textId="77777777" w:rsidR="00FA564E" w:rsidRPr="00B90AAA" w:rsidRDefault="00FA564E" w:rsidP="00FA564E">
            <w:pPr>
              <w:jc w:val="center"/>
              <w:rPr>
                <w:rFonts w:eastAsia="Times New Roman" w:cs="Times New Roman"/>
                <w:color w:val="000000"/>
                <w:sz w:val="20"/>
                <w:szCs w:val="20"/>
              </w:rPr>
            </w:pPr>
          </w:p>
        </w:tc>
        <w:tc>
          <w:tcPr>
            <w:tcW w:w="3060" w:type="dxa"/>
            <w:tcBorders>
              <w:top w:val="nil"/>
              <w:left w:val="nil"/>
              <w:bottom w:val="nil"/>
              <w:right w:val="nil"/>
            </w:tcBorders>
            <w:shd w:val="clear" w:color="auto" w:fill="auto"/>
            <w:noWrap/>
            <w:vAlign w:val="center"/>
            <w:hideMark/>
          </w:tcPr>
          <w:p w14:paraId="0772E808" w14:textId="77777777" w:rsidR="00FA564E" w:rsidRPr="00B90AAA" w:rsidRDefault="00FA564E" w:rsidP="00FA564E">
            <w:pPr>
              <w:jc w:val="center"/>
              <w:rPr>
                <w:rFonts w:eastAsia="Times New Roman" w:cs="Times New Roman"/>
                <w:color w:val="000000"/>
                <w:sz w:val="20"/>
                <w:szCs w:val="20"/>
              </w:rPr>
            </w:pPr>
          </w:p>
        </w:tc>
      </w:tr>
      <w:tr w:rsidR="00FA564E" w:rsidRPr="00B90AAA" w14:paraId="6CA64A2F" w14:textId="77777777" w:rsidTr="00121E69">
        <w:trPr>
          <w:trHeight w:val="360"/>
        </w:trPr>
        <w:tc>
          <w:tcPr>
            <w:tcW w:w="6135" w:type="dxa"/>
            <w:gridSpan w:val="3"/>
            <w:tcBorders>
              <w:top w:val="single" w:sz="4" w:space="0" w:color="auto"/>
              <w:left w:val="single" w:sz="4" w:space="0" w:color="auto"/>
              <w:bottom w:val="single" w:sz="4" w:space="0" w:color="auto"/>
              <w:right w:val="nil"/>
            </w:tcBorders>
            <w:shd w:val="clear" w:color="auto" w:fill="auto"/>
            <w:vAlign w:val="bottom"/>
            <w:hideMark/>
          </w:tcPr>
          <w:p w14:paraId="4547FD39" w14:textId="77777777" w:rsidR="00FA564E" w:rsidRPr="001F785E" w:rsidRDefault="00FA564E" w:rsidP="00FA564E">
            <w:pPr>
              <w:ind w:right="-2358"/>
              <w:jc w:val="center"/>
              <w:rPr>
                <w:rFonts w:eastAsia="Times New Roman" w:cs="Times New Roman"/>
                <w:b/>
                <w:bCs/>
                <w:color w:val="000000"/>
                <w:sz w:val="20"/>
                <w:szCs w:val="20"/>
              </w:rPr>
            </w:pPr>
            <w:r w:rsidRPr="001F785E">
              <w:rPr>
                <w:rFonts w:eastAsia="Times New Roman" w:cs="Times New Roman"/>
                <w:b/>
                <w:bCs/>
                <w:color w:val="000000"/>
                <w:sz w:val="20"/>
                <w:szCs w:val="20"/>
              </w:rPr>
              <w:t>Written Communication, Tier 1</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75CA4AD8" w14:textId="77777777" w:rsidR="00FA564E" w:rsidRPr="00B90AAA" w:rsidRDefault="00FA564E" w:rsidP="00FA564E">
            <w:pPr>
              <w:jc w:val="center"/>
              <w:rPr>
                <w:rFonts w:eastAsia="Times New Roman" w:cs="Times New Roman"/>
                <w:b/>
                <w:bCs/>
                <w:color w:val="000000"/>
                <w:sz w:val="20"/>
                <w:szCs w:val="20"/>
              </w:rPr>
            </w:pPr>
            <w:r w:rsidRPr="00B90AAA">
              <w:rPr>
                <w:rFonts w:eastAsia="Times New Roman" w:cs="Times New Roman"/>
                <w:b/>
                <w:bCs/>
                <w:color w:val="000000"/>
                <w:sz w:val="20"/>
                <w:szCs w:val="20"/>
              </w:rPr>
              <w:t> </w:t>
            </w:r>
          </w:p>
        </w:tc>
      </w:tr>
      <w:tr w:rsidR="00121E69" w:rsidRPr="00B90AAA" w14:paraId="6EDF32F7" w14:textId="77777777" w:rsidTr="00121E69">
        <w:trPr>
          <w:trHeight w:val="36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4278E7E2"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336497DA"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Tier 1 or Above</w:t>
            </w:r>
          </w:p>
        </w:tc>
        <w:tc>
          <w:tcPr>
            <w:tcW w:w="3330" w:type="dxa"/>
            <w:tcBorders>
              <w:top w:val="nil"/>
              <w:left w:val="nil"/>
              <w:bottom w:val="single" w:sz="4" w:space="0" w:color="auto"/>
              <w:right w:val="single" w:sz="4" w:space="0" w:color="auto"/>
            </w:tcBorders>
            <w:shd w:val="clear" w:color="auto" w:fill="auto"/>
            <w:vAlign w:val="bottom"/>
            <w:hideMark/>
          </w:tcPr>
          <w:p w14:paraId="023E3148" w14:textId="203CF42E" w:rsidR="00FA564E" w:rsidRPr="00B90AAA" w:rsidRDefault="00FA564E" w:rsidP="00450F60">
            <w:pPr>
              <w:jc w:val="center"/>
              <w:rPr>
                <w:rFonts w:eastAsia="Times New Roman" w:cs="Times New Roman"/>
                <w:color w:val="000000"/>
                <w:sz w:val="20"/>
                <w:szCs w:val="20"/>
              </w:rPr>
            </w:pPr>
            <w:r w:rsidRPr="00B90AAA">
              <w:rPr>
                <w:rFonts w:eastAsia="Times New Roman" w:cs="Times New Roman"/>
                <w:color w:val="000000"/>
                <w:sz w:val="20"/>
                <w:szCs w:val="20"/>
              </w:rPr>
              <w:t>Below Tier 1</w:t>
            </w:r>
          </w:p>
        </w:tc>
        <w:tc>
          <w:tcPr>
            <w:tcW w:w="3060" w:type="dxa"/>
            <w:tcBorders>
              <w:top w:val="single" w:sz="4" w:space="0" w:color="auto"/>
              <w:left w:val="nil"/>
              <w:bottom w:val="single" w:sz="4" w:space="0" w:color="auto"/>
              <w:right w:val="single" w:sz="4" w:space="0" w:color="auto"/>
            </w:tcBorders>
            <w:shd w:val="clear" w:color="auto" w:fill="B3B3B3"/>
            <w:vAlign w:val="bottom"/>
            <w:hideMark/>
          </w:tcPr>
          <w:p w14:paraId="26F5544D" w14:textId="77777777" w:rsidR="00FA564E"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Below Benchmark</w:t>
            </w:r>
          </w:p>
          <w:p w14:paraId="2CAFC9D8" w14:textId="77777777" w:rsidR="00FA564E" w:rsidRPr="00B90AAA" w:rsidRDefault="00FA564E" w:rsidP="00FA564E">
            <w:pPr>
              <w:jc w:val="center"/>
              <w:rPr>
                <w:rFonts w:eastAsia="Times New Roman" w:cs="Times New Roman"/>
                <w:color w:val="000000"/>
                <w:sz w:val="20"/>
                <w:szCs w:val="20"/>
              </w:rPr>
            </w:pPr>
            <w:r>
              <w:rPr>
                <w:rFonts w:eastAsia="Times New Roman" w:cs="Times New Roman"/>
                <w:color w:val="000000"/>
                <w:sz w:val="20"/>
                <w:szCs w:val="20"/>
              </w:rPr>
              <w:t>(Also counted in “Below Tier 1”)</w:t>
            </w:r>
          </w:p>
        </w:tc>
      </w:tr>
      <w:tr w:rsidR="00121E69" w:rsidRPr="00B90AAA" w14:paraId="269FAA0E" w14:textId="77777777" w:rsidTr="00121E69">
        <w:trPr>
          <w:trHeight w:val="560"/>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32339"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Average Across Dimensions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5AEDFE"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58%</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5D68EA29"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42%</w:t>
            </w:r>
          </w:p>
        </w:tc>
        <w:tc>
          <w:tcPr>
            <w:tcW w:w="3060" w:type="dxa"/>
            <w:tcBorders>
              <w:top w:val="single" w:sz="4" w:space="0" w:color="auto"/>
              <w:left w:val="nil"/>
              <w:bottom w:val="single" w:sz="4" w:space="0" w:color="auto"/>
              <w:right w:val="single" w:sz="4" w:space="0" w:color="auto"/>
            </w:tcBorders>
            <w:shd w:val="clear" w:color="auto" w:fill="B3B3B3"/>
            <w:vAlign w:val="center"/>
            <w:hideMark/>
          </w:tcPr>
          <w:p w14:paraId="1CEC0C46"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6%</w:t>
            </w:r>
          </w:p>
        </w:tc>
      </w:tr>
    </w:tbl>
    <w:p w14:paraId="564B9FA5" w14:textId="77777777" w:rsidR="00FA564E" w:rsidRDefault="00FA564E" w:rsidP="00FA564E">
      <w:pPr>
        <w:rPr>
          <w:sz w:val="24"/>
          <w:szCs w:val="24"/>
        </w:rPr>
      </w:pPr>
    </w:p>
    <w:p w14:paraId="3DAEF2A5" w14:textId="6515369F" w:rsidR="00FA564E" w:rsidRPr="003276DA" w:rsidRDefault="00C84633" w:rsidP="00FA564E">
      <w:pPr>
        <w:rPr>
          <w:sz w:val="20"/>
          <w:szCs w:val="20"/>
        </w:rPr>
      </w:pPr>
      <w:r w:rsidRPr="003276DA">
        <w:rPr>
          <w:sz w:val="20"/>
          <w:szCs w:val="20"/>
        </w:rPr>
        <w:t>T</w:t>
      </w:r>
      <w:r w:rsidR="00FA564E" w:rsidRPr="003276DA">
        <w:rPr>
          <w:sz w:val="20"/>
          <w:szCs w:val="20"/>
        </w:rPr>
        <w:t>he above data provide a general sense of the overall picture</w:t>
      </w:r>
      <w:r w:rsidR="00072143">
        <w:rPr>
          <w:sz w:val="20"/>
          <w:szCs w:val="20"/>
        </w:rPr>
        <w:t xml:space="preserve"> for Tier 1 courses</w:t>
      </w:r>
      <w:r w:rsidR="00FA564E" w:rsidRPr="003276DA">
        <w:rPr>
          <w:sz w:val="20"/>
          <w:szCs w:val="20"/>
        </w:rPr>
        <w:t xml:space="preserve">. </w:t>
      </w:r>
      <w:r w:rsidR="003276DA" w:rsidRPr="003276DA">
        <w:rPr>
          <w:sz w:val="20"/>
          <w:szCs w:val="20"/>
        </w:rPr>
        <w:t xml:space="preserve">Since this is </w:t>
      </w:r>
      <w:r w:rsidR="00072143">
        <w:rPr>
          <w:sz w:val="20"/>
          <w:szCs w:val="20"/>
        </w:rPr>
        <w:t xml:space="preserve">the </w:t>
      </w:r>
      <w:r w:rsidR="003276DA" w:rsidRPr="003276DA">
        <w:rPr>
          <w:sz w:val="20"/>
          <w:szCs w:val="20"/>
        </w:rPr>
        <w:t xml:space="preserve">first semester </w:t>
      </w:r>
      <w:r w:rsidR="00072143">
        <w:rPr>
          <w:sz w:val="20"/>
          <w:szCs w:val="20"/>
        </w:rPr>
        <w:t>of the program</w:t>
      </w:r>
      <w:r w:rsidR="003276DA" w:rsidRPr="003276DA">
        <w:rPr>
          <w:sz w:val="20"/>
          <w:szCs w:val="20"/>
        </w:rPr>
        <w:t xml:space="preserve">, </w:t>
      </w:r>
      <w:r w:rsidR="00072143">
        <w:rPr>
          <w:sz w:val="20"/>
          <w:szCs w:val="20"/>
        </w:rPr>
        <w:t xml:space="preserve">we have </w:t>
      </w:r>
      <w:r w:rsidR="003276DA" w:rsidRPr="003276DA">
        <w:rPr>
          <w:sz w:val="20"/>
          <w:szCs w:val="20"/>
        </w:rPr>
        <w:t xml:space="preserve">no comparative data; however, a common target for this type of assessment is 80%. </w:t>
      </w:r>
      <w:r w:rsidR="00FA564E" w:rsidRPr="003276DA">
        <w:rPr>
          <w:sz w:val="20"/>
          <w:szCs w:val="20"/>
        </w:rPr>
        <w:t xml:space="preserve">Based </w:t>
      </w:r>
      <w:r w:rsidR="00FA564E" w:rsidRPr="003276DA">
        <w:rPr>
          <w:sz w:val="20"/>
          <w:szCs w:val="20"/>
        </w:rPr>
        <w:lastRenderedPageBreak/>
        <w:t xml:space="preserve">on </w:t>
      </w:r>
      <w:r w:rsidR="003276DA" w:rsidRPr="003276DA">
        <w:rPr>
          <w:sz w:val="20"/>
          <w:szCs w:val="20"/>
        </w:rPr>
        <w:t xml:space="preserve">assessment team </w:t>
      </w:r>
      <w:r w:rsidR="00FA564E" w:rsidRPr="003276DA">
        <w:rPr>
          <w:sz w:val="20"/>
          <w:szCs w:val="20"/>
        </w:rPr>
        <w:t xml:space="preserve">evaluations, </w:t>
      </w:r>
      <w:r w:rsidR="003276DA" w:rsidRPr="003276DA">
        <w:rPr>
          <w:sz w:val="20"/>
          <w:szCs w:val="20"/>
        </w:rPr>
        <w:t xml:space="preserve">and </w:t>
      </w:r>
      <w:r w:rsidR="00FA564E" w:rsidRPr="003276DA">
        <w:rPr>
          <w:sz w:val="20"/>
          <w:szCs w:val="20"/>
        </w:rPr>
        <w:t xml:space="preserve">averaging all the dimensions, students in Tier 1 classes achieved the Tier 1 level </w:t>
      </w:r>
      <w:r w:rsidR="003276DA" w:rsidRPr="003276DA">
        <w:rPr>
          <w:sz w:val="20"/>
          <w:szCs w:val="20"/>
        </w:rPr>
        <w:t xml:space="preserve">of proficiency on signature assignments </w:t>
      </w:r>
      <w:r w:rsidR="00FA564E" w:rsidRPr="003276DA">
        <w:rPr>
          <w:sz w:val="20"/>
          <w:szCs w:val="20"/>
        </w:rPr>
        <w:t xml:space="preserve">58-60% of the time </w:t>
      </w:r>
      <w:r w:rsidRPr="003276DA">
        <w:rPr>
          <w:sz w:val="20"/>
          <w:szCs w:val="20"/>
        </w:rPr>
        <w:t xml:space="preserve">across </w:t>
      </w:r>
      <w:r w:rsidR="00FA564E" w:rsidRPr="003276DA">
        <w:rPr>
          <w:sz w:val="20"/>
          <w:szCs w:val="20"/>
        </w:rPr>
        <w:t xml:space="preserve">all three learning goals. </w:t>
      </w:r>
    </w:p>
    <w:p w14:paraId="7B9F7263" w14:textId="77777777" w:rsidR="00FA564E" w:rsidRPr="003276DA" w:rsidRDefault="00FA564E" w:rsidP="00FA564E">
      <w:pPr>
        <w:rPr>
          <w:sz w:val="20"/>
          <w:szCs w:val="20"/>
        </w:rPr>
      </w:pPr>
    </w:p>
    <w:p w14:paraId="2EF446FD" w14:textId="53FAF832" w:rsidR="00FA564E" w:rsidRPr="003276DA" w:rsidRDefault="00FA564E" w:rsidP="00FA564E">
      <w:pPr>
        <w:rPr>
          <w:sz w:val="20"/>
          <w:szCs w:val="20"/>
        </w:rPr>
      </w:pPr>
      <w:r w:rsidRPr="003276DA">
        <w:rPr>
          <w:sz w:val="20"/>
          <w:szCs w:val="20"/>
        </w:rPr>
        <w:t xml:space="preserve">Although achievement was generally comparable across the three learning goals in Tier 1, a large percentage of students </w:t>
      </w:r>
      <w:r w:rsidR="00DC3C3B" w:rsidRPr="003276DA">
        <w:rPr>
          <w:sz w:val="20"/>
          <w:szCs w:val="20"/>
        </w:rPr>
        <w:t xml:space="preserve">(20%) </w:t>
      </w:r>
      <w:r w:rsidRPr="003276DA">
        <w:rPr>
          <w:sz w:val="20"/>
          <w:szCs w:val="20"/>
        </w:rPr>
        <w:t xml:space="preserve">fell below the benchmark </w:t>
      </w:r>
      <w:r w:rsidR="00DC3C3B">
        <w:rPr>
          <w:sz w:val="20"/>
          <w:szCs w:val="20"/>
        </w:rPr>
        <w:t xml:space="preserve">(that is, fell below “beginning college level”) </w:t>
      </w:r>
      <w:r w:rsidRPr="003276DA">
        <w:rPr>
          <w:sz w:val="20"/>
          <w:szCs w:val="20"/>
        </w:rPr>
        <w:t xml:space="preserve">in Oral Communication. This is considerably more than the 6-8% under benchmark for </w:t>
      </w:r>
      <w:r w:rsidR="00233140">
        <w:rPr>
          <w:sz w:val="20"/>
          <w:szCs w:val="20"/>
        </w:rPr>
        <w:t>Written Communication and Critical Thinking</w:t>
      </w:r>
      <w:r w:rsidRPr="003276DA">
        <w:rPr>
          <w:sz w:val="20"/>
          <w:szCs w:val="20"/>
        </w:rPr>
        <w:t xml:space="preserve">. </w:t>
      </w:r>
    </w:p>
    <w:p w14:paraId="6C5417AC" w14:textId="77777777" w:rsidR="00FA564E" w:rsidRPr="003276DA" w:rsidRDefault="00FA564E" w:rsidP="00FA564E">
      <w:pPr>
        <w:rPr>
          <w:sz w:val="20"/>
          <w:szCs w:val="20"/>
        </w:rPr>
      </w:pPr>
    </w:p>
    <w:p w14:paraId="4038ED9B" w14:textId="19438AB1" w:rsidR="00FA564E" w:rsidRPr="003276DA" w:rsidRDefault="00773E62" w:rsidP="00FA564E">
      <w:pPr>
        <w:rPr>
          <w:sz w:val="20"/>
          <w:szCs w:val="20"/>
        </w:rPr>
      </w:pPr>
      <w:r>
        <w:rPr>
          <w:sz w:val="20"/>
          <w:szCs w:val="20"/>
        </w:rPr>
        <w:t>W</w:t>
      </w:r>
      <w:r w:rsidR="00FA564E" w:rsidRPr="003276DA">
        <w:rPr>
          <w:sz w:val="20"/>
          <w:szCs w:val="20"/>
        </w:rPr>
        <w:t xml:space="preserve">hen all three learning goals are averaged together, 62% of students in Tier 1 and Tier 2 classes achieved the Tier 1 </w:t>
      </w:r>
      <w:r>
        <w:rPr>
          <w:sz w:val="20"/>
          <w:szCs w:val="20"/>
        </w:rPr>
        <w:t xml:space="preserve">proficiency </w:t>
      </w:r>
      <w:r w:rsidR="00FA564E" w:rsidRPr="003276DA">
        <w:rPr>
          <w:sz w:val="20"/>
          <w:szCs w:val="20"/>
        </w:rPr>
        <w:t xml:space="preserve">level. </w:t>
      </w:r>
      <w:r w:rsidR="003B7023">
        <w:rPr>
          <w:sz w:val="20"/>
          <w:szCs w:val="20"/>
        </w:rPr>
        <w:t>I</w:t>
      </w:r>
      <w:r w:rsidR="00FA564E" w:rsidRPr="003276DA">
        <w:rPr>
          <w:sz w:val="20"/>
          <w:szCs w:val="20"/>
        </w:rPr>
        <w:t xml:space="preserve">t </w:t>
      </w:r>
      <w:r w:rsidR="00702DCD">
        <w:rPr>
          <w:sz w:val="20"/>
          <w:szCs w:val="20"/>
        </w:rPr>
        <w:t xml:space="preserve">would seem </w:t>
      </w:r>
      <w:r w:rsidR="00FA564E" w:rsidRPr="003276DA">
        <w:rPr>
          <w:sz w:val="20"/>
          <w:szCs w:val="20"/>
        </w:rPr>
        <w:t>unlikely for first-semester college students to achieve Tier 2-l</w:t>
      </w:r>
      <w:r>
        <w:rPr>
          <w:sz w:val="20"/>
          <w:szCs w:val="20"/>
        </w:rPr>
        <w:t xml:space="preserve">evels, even in Tier 2 classes. </w:t>
      </w:r>
      <w:r w:rsidR="0042026B">
        <w:rPr>
          <w:sz w:val="20"/>
          <w:szCs w:val="20"/>
        </w:rPr>
        <w:t xml:space="preserve">Therefore, </w:t>
      </w:r>
      <w:r w:rsidR="001C1600">
        <w:rPr>
          <w:sz w:val="20"/>
          <w:szCs w:val="20"/>
        </w:rPr>
        <w:t xml:space="preserve">Tier 1 </w:t>
      </w:r>
      <w:r w:rsidR="00E357D4">
        <w:rPr>
          <w:sz w:val="20"/>
          <w:szCs w:val="20"/>
        </w:rPr>
        <w:t xml:space="preserve">outcomes </w:t>
      </w:r>
      <w:r w:rsidR="0042026B">
        <w:rPr>
          <w:sz w:val="20"/>
          <w:szCs w:val="20"/>
        </w:rPr>
        <w:t xml:space="preserve">may </w:t>
      </w:r>
      <w:r w:rsidR="001C1600">
        <w:rPr>
          <w:sz w:val="20"/>
          <w:szCs w:val="20"/>
        </w:rPr>
        <w:t xml:space="preserve">have been a reasonable goal for all </w:t>
      </w:r>
      <w:r w:rsidR="00C21F1E">
        <w:rPr>
          <w:sz w:val="20"/>
          <w:szCs w:val="20"/>
        </w:rPr>
        <w:t xml:space="preserve">General Education </w:t>
      </w:r>
      <w:r w:rsidR="001C1600">
        <w:rPr>
          <w:sz w:val="20"/>
          <w:szCs w:val="20"/>
        </w:rPr>
        <w:t>students</w:t>
      </w:r>
      <w:r w:rsidR="004A4508">
        <w:rPr>
          <w:sz w:val="20"/>
          <w:szCs w:val="20"/>
        </w:rPr>
        <w:t>,</w:t>
      </w:r>
      <w:r w:rsidR="001C1600">
        <w:rPr>
          <w:sz w:val="20"/>
          <w:szCs w:val="20"/>
        </w:rPr>
        <w:t xml:space="preserve"> </w:t>
      </w:r>
      <w:r w:rsidR="0042026B">
        <w:rPr>
          <w:sz w:val="20"/>
          <w:szCs w:val="20"/>
        </w:rPr>
        <w:t xml:space="preserve">given that they had </w:t>
      </w:r>
      <w:r w:rsidR="002518AB" w:rsidRPr="00954B49">
        <w:rPr>
          <w:sz w:val="20"/>
          <w:szCs w:val="20"/>
        </w:rPr>
        <w:t>no previ</w:t>
      </w:r>
      <w:r w:rsidR="002518AB">
        <w:rPr>
          <w:sz w:val="20"/>
          <w:szCs w:val="20"/>
        </w:rPr>
        <w:t>ous college-level experience (t</w:t>
      </w:r>
      <w:r w:rsidR="002518AB" w:rsidRPr="00954B49">
        <w:rPr>
          <w:sz w:val="20"/>
          <w:szCs w:val="20"/>
        </w:rPr>
        <w:t>ransfer students were not enrolled in General Education courses</w:t>
      </w:r>
      <w:r w:rsidR="000B1925">
        <w:rPr>
          <w:sz w:val="20"/>
          <w:szCs w:val="20"/>
        </w:rPr>
        <w:t xml:space="preserve"> in Fall 2015</w:t>
      </w:r>
      <w:r w:rsidR="002518AB" w:rsidRPr="00954B49">
        <w:rPr>
          <w:sz w:val="20"/>
          <w:szCs w:val="20"/>
        </w:rPr>
        <w:t>)</w:t>
      </w:r>
      <w:r w:rsidR="002518AB">
        <w:rPr>
          <w:sz w:val="20"/>
          <w:szCs w:val="20"/>
        </w:rPr>
        <w:t xml:space="preserve"> </w:t>
      </w:r>
      <w:r w:rsidR="000B1925">
        <w:rPr>
          <w:sz w:val="20"/>
          <w:szCs w:val="20"/>
        </w:rPr>
        <w:t xml:space="preserve">in </w:t>
      </w:r>
      <w:r w:rsidR="002518AB">
        <w:rPr>
          <w:sz w:val="20"/>
          <w:szCs w:val="20"/>
        </w:rPr>
        <w:t>the first semester of the program.</w:t>
      </w:r>
    </w:p>
    <w:p w14:paraId="63001BB1" w14:textId="77777777" w:rsidR="00FA564E" w:rsidRPr="003276DA" w:rsidRDefault="00FA564E" w:rsidP="00FA564E">
      <w:pPr>
        <w:jc w:val="center"/>
        <w:rPr>
          <w:b/>
          <w:sz w:val="20"/>
          <w:szCs w:val="20"/>
        </w:rPr>
      </w:pPr>
    </w:p>
    <w:p w14:paraId="1633319E" w14:textId="77777777" w:rsidR="00FA564E" w:rsidRPr="003276DA" w:rsidRDefault="00FA564E" w:rsidP="00FA564E">
      <w:pPr>
        <w:jc w:val="center"/>
        <w:rPr>
          <w:b/>
          <w:sz w:val="20"/>
          <w:szCs w:val="20"/>
        </w:rPr>
      </w:pPr>
      <w:r w:rsidRPr="003276DA">
        <w:rPr>
          <w:b/>
          <w:sz w:val="20"/>
          <w:szCs w:val="20"/>
        </w:rPr>
        <w:t>Tier 2 Overview</w:t>
      </w:r>
    </w:p>
    <w:p w14:paraId="4503257B" w14:textId="77777777" w:rsidR="00FA564E" w:rsidRPr="003276DA" w:rsidRDefault="00FA564E" w:rsidP="00FA564E">
      <w:pPr>
        <w:rPr>
          <w:sz w:val="20"/>
          <w:szCs w:val="20"/>
        </w:rPr>
      </w:pPr>
    </w:p>
    <w:p w14:paraId="24C1CA89" w14:textId="365CA273" w:rsidR="00FA564E" w:rsidRPr="003276DA" w:rsidRDefault="00302EDD" w:rsidP="00FA564E">
      <w:pPr>
        <w:rPr>
          <w:sz w:val="20"/>
          <w:szCs w:val="20"/>
        </w:rPr>
      </w:pPr>
      <w:r>
        <w:rPr>
          <w:sz w:val="20"/>
          <w:szCs w:val="20"/>
        </w:rPr>
        <w:t>S</w:t>
      </w:r>
      <w:r w:rsidR="00FA564E" w:rsidRPr="003276DA">
        <w:rPr>
          <w:sz w:val="20"/>
          <w:szCs w:val="20"/>
        </w:rPr>
        <w:t xml:space="preserve">tudents in Tier 2 classes were </w:t>
      </w:r>
      <w:r w:rsidR="00140848">
        <w:rPr>
          <w:sz w:val="20"/>
          <w:szCs w:val="20"/>
        </w:rPr>
        <w:t xml:space="preserve">somewhat </w:t>
      </w:r>
      <w:r w:rsidR="00FA564E" w:rsidRPr="003276DA">
        <w:rPr>
          <w:sz w:val="20"/>
          <w:szCs w:val="20"/>
        </w:rPr>
        <w:t xml:space="preserve">more likely to meet Tier 2 standards than students in Tier 1 courses. However, students in Tier 2 courses did not meet Tier 2 standards at a high rate. </w:t>
      </w:r>
    </w:p>
    <w:p w14:paraId="39839DFF" w14:textId="77777777" w:rsidR="00FA564E" w:rsidRPr="003276DA" w:rsidRDefault="00FA564E" w:rsidP="00FA564E">
      <w:pPr>
        <w:rPr>
          <w:sz w:val="20"/>
          <w:szCs w:val="20"/>
        </w:rPr>
      </w:pPr>
    </w:p>
    <w:p w14:paraId="09510A45" w14:textId="36C2E66F" w:rsidR="00FA564E" w:rsidRPr="003276DA" w:rsidRDefault="00FA564E" w:rsidP="00FA564E">
      <w:pPr>
        <w:rPr>
          <w:sz w:val="20"/>
          <w:szCs w:val="20"/>
        </w:rPr>
      </w:pPr>
      <w:r w:rsidRPr="003276DA">
        <w:rPr>
          <w:sz w:val="20"/>
          <w:szCs w:val="20"/>
        </w:rPr>
        <w:t xml:space="preserve">The following tables provide a general </w:t>
      </w:r>
      <w:r w:rsidR="0011590C">
        <w:rPr>
          <w:sz w:val="20"/>
          <w:szCs w:val="20"/>
        </w:rPr>
        <w:t xml:space="preserve">picture of the Tier 2 results. </w:t>
      </w:r>
      <w:r w:rsidRPr="003276DA">
        <w:rPr>
          <w:sz w:val="20"/>
          <w:szCs w:val="20"/>
        </w:rPr>
        <w:t xml:space="preserve">Due to the small number of </w:t>
      </w:r>
      <w:proofErr w:type="gramStart"/>
      <w:r w:rsidRPr="003276DA">
        <w:rPr>
          <w:sz w:val="20"/>
          <w:szCs w:val="20"/>
        </w:rPr>
        <w:t>Fall</w:t>
      </w:r>
      <w:proofErr w:type="gramEnd"/>
      <w:r w:rsidRPr="003276DA">
        <w:rPr>
          <w:sz w:val="20"/>
          <w:szCs w:val="20"/>
        </w:rPr>
        <w:t xml:space="preserve"> 2015 classes that assessed Oral Communication in Tier 2, only Tier 1 Oral Communication da</w:t>
      </w:r>
      <w:r w:rsidR="0011590C">
        <w:rPr>
          <w:sz w:val="20"/>
          <w:szCs w:val="20"/>
        </w:rPr>
        <w:t>ta are provided in this report.</w:t>
      </w:r>
      <w:r w:rsidRPr="003276DA">
        <w:rPr>
          <w:sz w:val="20"/>
          <w:szCs w:val="20"/>
        </w:rPr>
        <w:t xml:space="preserve"> </w:t>
      </w:r>
      <w:r w:rsidR="00587366" w:rsidRPr="00C84633">
        <w:rPr>
          <w:sz w:val="20"/>
          <w:szCs w:val="20"/>
        </w:rPr>
        <w:t xml:space="preserve">Note that the percentage “Below Benchmark” is also included in </w:t>
      </w:r>
      <w:r w:rsidR="00587366">
        <w:rPr>
          <w:sz w:val="20"/>
          <w:szCs w:val="20"/>
        </w:rPr>
        <w:t>the percentage for “Below Tier 2</w:t>
      </w:r>
      <w:r w:rsidR="00587366" w:rsidRPr="00C84633">
        <w:rPr>
          <w:sz w:val="20"/>
          <w:szCs w:val="20"/>
        </w:rPr>
        <w:t>” (which explains why the total of each row adds up to more than 100%):</w:t>
      </w:r>
    </w:p>
    <w:p w14:paraId="0503A940" w14:textId="77777777" w:rsidR="00FA564E" w:rsidRDefault="00FA564E" w:rsidP="00FA564E">
      <w:pPr>
        <w:rPr>
          <w:b/>
          <w:sz w:val="24"/>
          <w:szCs w:val="24"/>
        </w:rPr>
      </w:pPr>
    </w:p>
    <w:tbl>
      <w:tblPr>
        <w:tblW w:w="9280" w:type="dxa"/>
        <w:tblInd w:w="98" w:type="dxa"/>
        <w:tblLayout w:type="fixed"/>
        <w:tblLook w:val="04A0" w:firstRow="1" w:lastRow="0" w:firstColumn="1" w:lastColumn="0" w:noHBand="0" w:noVBand="1"/>
      </w:tblPr>
      <w:tblGrid>
        <w:gridCol w:w="2085"/>
        <w:gridCol w:w="1075"/>
        <w:gridCol w:w="3240"/>
        <w:gridCol w:w="2880"/>
      </w:tblGrid>
      <w:tr w:rsidR="00FA564E" w:rsidRPr="00B90AAA" w14:paraId="7AB471D1" w14:textId="77777777" w:rsidTr="00121E69">
        <w:trPr>
          <w:trHeight w:val="360"/>
        </w:trPr>
        <w:tc>
          <w:tcPr>
            <w:tcW w:w="92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880A7DB" w14:textId="77777777" w:rsidR="00FA564E" w:rsidRPr="001F785E" w:rsidRDefault="00FA564E" w:rsidP="00FA564E">
            <w:pPr>
              <w:jc w:val="center"/>
              <w:rPr>
                <w:rFonts w:eastAsia="Times New Roman" w:cs="Times New Roman"/>
                <w:b/>
                <w:bCs/>
                <w:color w:val="000000"/>
                <w:sz w:val="20"/>
                <w:szCs w:val="20"/>
              </w:rPr>
            </w:pPr>
            <w:r w:rsidRPr="001F785E">
              <w:rPr>
                <w:rFonts w:eastAsia="Times New Roman" w:cs="Times New Roman"/>
                <w:b/>
                <w:bCs/>
                <w:color w:val="000000"/>
                <w:sz w:val="20"/>
                <w:szCs w:val="20"/>
              </w:rPr>
              <w:t>Critical Thinking, Tier 2</w:t>
            </w:r>
          </w:p>
        </w:tc>
      </w:tr>
      <w:tr w:rsidR="00121E69" w:rsidRPr="00B90AAA" w14:paraId="38362256" w14:textId="77777777" w:rsidTr="00121E69">
        <w:trPr>
          <w:trHeight w:val="350"/>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777F6977"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 </w:t>
            </w:r>
          </w:p>
        </w:tc>
        <w:tc>
          <w:tcPr>
            <w:tcW w:w="1075" w:type="dxa"/>
            <w:tcBorders>
              <w:top w:val="nil"/>
              <w:left w:val="nil"/>
              <w:bottom w:val="single" w:sz="4" w:space="0" w:color="auto"/>
              <w:right w:val="single" w:sz="4" w:space="0" w:color="auto"/>
            </w:tcBorders>
            <w:shd w:val="clear" w:color="auto" w:fill="auto"/>
            <w:vAlign w:val="bottom"/>
            <w:hideMark/>
          </w:tcPr>
          <w:p w14:paraId="6DFDF4E3"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 xml:space="preserve">Tier 2 or Above </w:t>
            </w:r>
          </w:p>
        </w:tc>
        <w:tc>
          <w:tcPr>
            <w:tcW w:w="3240" w:type="dxa"/>
            <w:tcBorders>
              <w:top w:val="nil"/>
              <w:left w:val="nil"/>
              <w:bottom w:val="single" w:sz="4" w:space="0" w:color="auto"/>
              <w:right w:val="single" w:sz="4" w:space="0" w:color="auto"/>
            </w:tcBorders>
            <w:shd w:val="clear" w:color="auto" w:fill="auto"/>
            <w:vAlign w:val="bottom"/>
            <w:hideMark/>
          </w:tcPr>
          <w:p w14:paraId="579B6510" w14:textId="37B47017" w:rsidR="00FA564E" w:rsidRPr="00B90AAA" w:rsidRDefault="00FA564E" w:rsidP="00450F60">
            <w:pPr>
              <w:jc w:val="center"/>
              <w:rPr>
                <w:rFonts w:eastAsia="Times New Roman" w:cs="Times New Roman"/>
                <w:color w:val="000000"/>
                <w:sz w:val="20"/>
                <w:szCs w:val="20"/>
              </w:rPr>
            </w:pPr>
            <w:r w:rsidRPr="00B90AAA">
              <w:rPr>
                <w:rFonts w:eastAsia="Times New Roman" w:cs="Times New Roman"/>
                <w:color w:val="000000"/>
                <w:sz w:val="20"/>
                <w:szCs w:val="20"/>
              </w:rPr>
              <w:t>Below Tier 2</w:t>
            </w:r>
          </w:p>
        </w:tc>
        <w:tc>
          <w:tcPr>
            <w:tcW w:w="2880" w:type="dxa"/>
            <w:tcBorders>
              <w:top w:val="single" w:sz="4" w:space="0" w:color="auto"/>
              <w:left w:val="nil"/>
              <w:bottom w:val="single" w:sz="4" w:space="0" w:color="auto"/>
              <w:right w:val="single" w:sz="4" w:space="0" w:color="auto"/>
            </w:tcBorders>
            <w:shd w:val="clear" w:color="auto" w:fill="B3B3B3"/>
            <w:vAlign w:val="bottom"/>
            <w:hideMark/>
          </w:tcPr>
          <w:p w14:paraId="7F80F285" w14:textId="77777777" w:rsidR="00FA564E"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Below Benchmark</w:t>
            </w:r>
          </w:p>
          <w:p w14:paraId="10E4E51C" w14:textId="77777777" w:rsidR="00FA564E" w:rsidRPr="00B90AAA" w:rsidRDefault="00FA564E" w:rsidP="00FA564E">
            <w:pPr>
              <w:jc w:val="center"/>
              <w:rPr>
                <w:rFonts w:eastAsia="Times New Roman" w:cs="Times New Roman"/>
                <w:color w:val="000000"/>
                <w:sz w:val="20"/>
                <w:szCs w:val="20"/>
              </w:rPr>
            </w:pPr>
            <w:r>
              <w:rPr>
                <w:rFonts w:eastAsia="Times New Roman" w:cs="Times New Roman"/>
                <w:color w:val="000000"/>
                <w:sz w:val="20"/>
                <w:szCs w:val="20"/>
              </w:rPr>
              <w:t>(Also counted in “Below Tier 2”)</w:t>
            </w:r>
          </w:p>
        </w:tc>
      </w:tr>
      <w:tr w:rsidR="00121E69" w:rsidRPr="00B90AAA" w14:paraId="49359A17" w14:textId="77777777" w:rsidTr="00121E69">
        <w:trPr>
          <w:trHeight w:val="560"/>
        </w:trPr>
        <w:tc>
          <w:tcPr>
            <w:tcW w:w="2085" w:type="dxa"/>
            <w:tcBorders>
              <w:top w:val="nil"/>
              <w:left w:val="single" w:sz="4" w:space="0" w:color="auto"/>
              <w:bottom w:val="single" w:sz="4" w:space="0" w:color="auto"/>
              <w:right w:val="single" w:sz="4" w:space="0" w:color="auto"/>
            </w:tcBorders>
            <w:shd w:val="clear" w:color="auto" w:fill="auto"/>
            <w:vAlign w:val="center"/>
            <w:hideMark/>
          </w:tcPr>
          <w:p w14:paraId="0FD01BCE"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Average Across Dimensions</w:t>
            </w:r>
          </w:p>
        </w:tc>
        <w:tc>
          <w:tcPr>
            <w:tcW w:w="1075" w:type="dxa"/>
            <w:tcBorders>
              <w:top w:val="nil"/>
              <w:left w:val="nil"/>
              <w:bottom w:val="single" w:sz="4" w:space="0" w:color="auto"/>
              <w:right w:val="single" w:sz="4" w:space="0" w:color="auto"/>
            </w:tcBorders>
            <w:shd w:val="clear" w:color="auto" w:fill="auto"/>
            <w:noWrap/>
            <w:vAlign w:val="center"/>
            <w:hideMark/>
          </w:tcPr>
          <w:p w14:paraId="3DC76A27"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29%</w:t>
            </w:r>
          </w:p>
        </w:tc>
        <w:tc>
          <w:tcPr>
            <w:tcW w:w="3240" w:type="dxa"/>
            <w:tcBorders>
              <w:top w:val="nil"/>
              <w:left w:val="nil"/>
              <w:bottom w:val="single" w:sz="4" w:space="0" w:color="auto"/>
              <w:right w:val="single" w:sz="4" w:space="0" w:color="auto"/>
            </w:tcBorders>
            <w:shd w:val="clear" w:color="auto" w:fill="auto"/>
            <w:noWrap/>
            <w:vAlign w:val="center"/>
            <w:hideMark/>
          </w:tcPr>
          <w:p w14:paraId="26403C7A"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71%</w:t>
            </w:r>
          </w:p>
        </w:tc>
        <w:tc>
          <w:tcPr>
            <w:tcW w:w="2880" w:type="dxa"/>
            <w:tcBorders>
              <w:top w:val="single" w:sz="4" w:space="0" w:color="auto"/>
              <w:left w:val="nil"/>
              <w:bottom w:val="single" w:sz="4" w:space="0" w:color="auto"/>
              <w:right w:val="single" w:sz="4" w:space="0" w:color="auto"/>
            </w:tcBorders>
            <w:shd w:val="clear" w:color="auto" w:fill="B3B3B3"/>
            <w:noWrap/>
            <w:vAlign w:val="center"/>
            <w:hideMark/>
          </w:tcPr>
          <w:p w14:paraId="095CD3CA"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5%</w:t>
            </w:r>
          </w:p>
        </w:tc>
      </w:tr>
      <w:tr w:rsidR="00121E69" w:rsidRPr="00B90AAA" w14:paraId="422C63E1" w14:textId="77777777" w:rsidTr="00121E69">
        <w:trPr>
          <w:trHeight w:val="280"/>
        </w:trPr>
        <w:tc>
          <w:tcPr>
            <w:tcW w:w="2085" w:type="dxa"/>
            <w:tcBorders>
              <w:top w:val="nil"/>
              <w:left w:val="nil"/>
              <w:bottom w:val="nil"/>
              <w:right w:val="nil"/>
            </w:tcBorders>
            <w:shd w:val="clear" w:color="auto" w:fill="auto"/>
            <w:vAlign w:val="bottom"/>
            <w:hideMark/>
          </w:tcPr>
          <w:p w14:paraId="2865368E" w14:textId="77777777" w:rsidR="00FA564E" w:rsidRPr="00B90AAA" w:rsidRDefault="00FA564E" w:rsidP="00FA564E">
            <w:pPr>
              <w:rPr>
                <w:rFonts w:eastAsia="Times New Roman" w:cs="Times New Roman"/>
                <w:color w:val="000000"/>
                <w:sz w:val="20"/>
                <w:szCs w:val="20"/>
              </w:rPr>
            </w:pPr>
          </w:p>
        </w:tc>
        <w:tc>
          <w:tcPr>
            <w:tcW w:w="1075" w:type="dxa"/>
            <w:tcBorders>
              <w:top w:val="nil"/>
              <w:left w:val="nil"/>
              <w:bottom w:val="nil"/>
              <w:right w:val="nil"/>
            </w:tcBorders>
            <w:shd w:val="clear" w:color="auto" w:fill="auto"/>
            <w:noWrap/>
            <w:vAlign w:val="center"/>
            <w:hideMark/>
          </w:tcPr>
          <w:p w14:paraId="4DEAA307" w14:textId="77777777" w:rsidR="00FA564E" w:rsidRPr="00B90AAA" w:rsidRDefault="00FA564E" w:rsidP="00FA564E">
            <w:pPr>
              <w:jc w:val="center"/>
              <w:rPr>
                <w:rFonts w:eastAsia="Times New Roman" w:cs="Times New Roman"/>
                <w:color w:val="000000"/>
                <w:sz w:val="20"/>
                <w:szCs w:val="20"/>
              </w:rPr>
            </w:pPr>
          </w:p>
        </w:tc>
        <w:tc>
          <w:tcPr>
            <w:tcW w:w="3240" w:type="dxa"/>
            <w:tcBorders>
              <w:top w:val="nil"/>
              <w:left w:val="nil"/>
              <w:bottom w:val="nil"/>
              <w:right w:val="nil"/>
            </w:tcBorders>
            <w:shd w:val="clear" w:color="auto" w:fill="auto"/>
            <w:noWrap/>
            <w:vAlign w:val="center"/>
            <w:hideMark/>
          </w:tcPr>
          <w:p w14:paraId="3D7D1B49" w14:textId="77777777" w:rsidR="00FA564E" w:rsidRPr="00B90AAA" w:rsidRDefault="00FA564E" w:rsidP="00FA564E">
            <w:pPr>
              <w:jc w:val="center"/>
              <w:rPr>
                <w:rFonts w:eastAsia="Times New Roman" w:cs="Times New Roman"/>
                <w:color w:val="000000"/>
                <w:sz w:val="20"/>
                <w:szCs w:val="20"/>
              </w:rPr>
            </w:pPr>
          </w:p>
        </w:tc>
        <w:tc>
          <w:tcPr>
            <w:tcW w:w="2880" w:type="dxa"/>
            <w:tcBorders>
              <w:top w:val="nil"/>
              <w:left w:val="nil"/>
              <w:bottom w:val="nil"/>
              <w:right w:val="nil"/>
            </w:tcBorders>
            <w:shd w:val="clear" w:color="auto" w:fill="auto"/>
            <w:noWrap/>
            <w:vAlign w:val="center"/>
            <w:hideMark/>
          </w:tcPr>
          <w:p w14:paraId="038C8DE6" w14:textId="77777777" w:rsidR="00FA564E" w:rsidRPr="00B90AAA" w:rsidRDefault="00FA564E" w:rsidP="00FA564E">
            <w:pPr>
              <w:jc w:val="center"/>
              <w:rPr>
                <w:rFonts w:eastAsia="Times New Roman" w:cs="Times New Roman"/>
                <w:color w:val="000000"/>
                <w:sz w:val="20"/>
                <w:szCs w:val="20"/>
              </w:rPr>
            </w:pPr>
          </w:p>
        </w:tc>
      </w:tr>
      <w:tr w:rsidR="00FA564E" w:rsidRPr="00B90AAA" w14:paraId="7DF42B5F" w14:textId="77777777" w:rsidTr="00121E69">
        <w:trPr>
          <w:trHeight w:val="360"/>
        </w:trPr>
        <w:tc>
          <w:tcPr>
            <w:tcW w:w="92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C0098D6" w14:textId="77777777" w:rsidR="00FA564E" w:rsidRPr="001F785E" w:rsidRDefault="00FA564E" w:rsidP="00FA564E">
            <w:pPr>
              <w:jc w:val="center"/>
              <w:rPr>
                <w:rFonts w:eastAsia="Times New Roman" w:cs="Times New Roman"/>
                <w:b/>
                <w:bCs/>
                <w:color w:val="000000"/>
                <w:sz w:val="20"/>
                <w:szCs w:val="20"/>
              </w:rPr>
            </w:pPr>
            <w:r w:rsidRPr="001F785E">
              <w:rPr>
                <w:rFonts w:eastAsia="Times New Roman" w:cs="Times New Roman"/>
                <w:b/>
                <w:bCs/>
                <w:color w:val="000000"/>
                <w:sz w:val="20"/>
                <w:szCs w:val="20"/>
              </w:rPr>
              <w:t>Written Communication, Tier 2</w:t>
            </w:r>
          </w:p>
        </w:tc>
      </w:tr>
      <w:tr w:rsidR="00FA564E" w:rsidRPr="00B90AAA" w14:paraId="3C9CD972" w14:textId="77777777" w:rsidTr="00121E69">
        <w:trPr>
          <w:trHeight w:val="359"/>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1B30CF5A"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 </w:t>
            </w:r>
          </w:p>
        </w:tc>
        <w:tc>
          <w:tcPr>
            <w:tcW w:w="1075" w:type="dxa"/>
            <w:tcBorders>
              <w:top w:val="nil"/>
              <w:left w:val="nil"/>
              <w:bottom w:val="single" w:sz="4" w:space="0" w:color="auto"/>
              <w:right w:val="single" w:sz="4" w:space="0" w:color="auto"/>
            </w:tcBorders>
            <w:shd w:val="clear" w:color="auto" w:fill="auto"/>
            <w:vAlign w:val="bottom"/>
            <w:hideMark/>
          </w:tcPr>
          <w:p w14:paraId="3A8F82A4"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Tier 2 or Above</w:t>
            </w:r>
          </w:p>
        </w:tc>
        <w:tc>
          <w:tcPr>
            <w:tcW w:w="3240" w:type="dxa"/>
            <w:tcBorders>
              <w:top w:val="nil"/>
              <w:left w:val="nil"/>
              <w:bottom w:val="single" w:sz="4" w:space="0" w:color="auto"/>
              <w:right w:val="single" w:sz="4" w:space="0" w:color="auto"/>
            </w:tcBorders>
            <w:shd w:val="clear" w:color="auto" w:fill="auto"/>
            <w:vAlign w:val="bottom"/>
            <w:hideMark/>
          </w:tcPr>
          <w:p w14:paraId="71FAA07F" w14:textId="2DABED1E" w:rsidR="00FA564E" w:rsidRPr="00B90AAA" w:rsidRDefault="00FA564E" w:rsidP="00450F60">
            <w:pPr>
              <w:jc w:val="center"/>
              <w:rPr>
                <w:rFonts w:eastAsia="Times New Roman" w:cs="Times New Roman"/>
                <w:color w:val="000000"/>
                <w:sz w:val="20"/>
                <w:szCs w:val="20"/>
              </w:rPr>
            </w:pPr>
            <w:r w:rsidRPr="00B90AAA">
              <w:rPr>
                <w:rFonts w:eastAsia="Times New Roman" w:cs="Times New Roman"/>
                <w:color w:val="000000"/>
                <w:sz w:val="20"/>
                <w:szCs w:val="20"/>
              </w:rPr>
              <w:t>Below Tier 2</w:t>
            </w:r>
          </w:p>
        </w:tc>
        <w:tc>
          <w:tcPr>
            <w:tcW w:w="2880" w:type="dxa"/>
            <w:tcBorders>
              <w:top w:val="single" w:sz="4" w:space="0" w:color="auto"/>
              <w:left w:val="nil"/>
              <w:bottom w:val="single" w:sz="4" w:space="0" w:color="auto"/>
              <w:right w:val="single" w:sz="4" w:space="0" w:color="auto"/>
            </w:tcBorders>
            <w:shd w:val="clear" w:color="auto" w:fill="B3B3B3"/>
            <w:vAlign w:val="bottom"/>
            <w:hideMark/>
          </w:tcPr>
          <w:p w14:paraId="36EC209F" w14:textId="77777777" w:rsidR="00FA564E"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Below Benchmark</w:t>
            </w:r>
          </w:p>
          <w:p w14:paraId="1BAC509A" w14:textId="77777777" w:rsidR="00FA564E" w:rsidRPr="00B90AAA" w:rsidRDefault="00FA564E" w:rsidP="00FA564E">
            <w:pPr>
              <w:jc w:val="center"/>
              <w:rPr>
                <w:rFonts w:eastAsia="Times New Roman" w:cs="Times New Roman"/>
                <w:color w:val="000000"/>
                <w:sz w:val="20"/>
                <w:szCs w:val="20"/>
              </w:rPr>
            </w:pPr>
            <w:r>
              <w:rPr>
                <w:rFonts w:eastAsia="Times New Roman" w:cs="Times New Roman"/>
                <w:color w:val="000000"/>
                <w:sz w:val="20"/>
                <w:szCs w:val="20"/>
              </w:rPr>
              <w:t>(Also counted in “Below Tier 2”)</w:t>
            </w:r>
          </w:p>
        </w:tc>
      </w:tr>
      <w:tr w:rsidR="00FA564E" w:rsidRPr="00B90AAA" w14:paraId="22F3C277" w14:textId="77777777" w:rsidTr="00121E69">
        <w:trPr>
          <w:trHeight w:val="560"/>
        </w:trPr>
        <w:tc>
          <w:tcPr>
            <w:tcW w:w="2085" w:type="dxa"/>
            <w:tcBorders>
              <w:top w:val="nil"/>
              <w:left w:val="single" w:sz="4" w:space="0" w:color="auto"/>
              <w:bottom w:val="single" w:sz="4" w:space="0" w:color="auto"/>
              <w:right w:val="single" w:sz="4" w:space="0" w:color="auto"/>
            </w:tcBorders>
            <w:shd w:val="clear" w:color="auto" w:fill="auto"/>
            <w:vAlign w:val="center"/>
            <w:hideMark/>
          </w:tcPr>
          <w:p w14:paraId="684EB86A" w14:textId="77777777" w:rsidR="00FA564E" w:rsidRPr="00B90AAA" w:rsidRDefault="00FA564E" w:rsidP="00FA564E">
            <w:pPr>
              <w:rPr>
                <w:rFonts w:eastAsia="Times New Roman" w:cs="Times New Roman"/>
                <w:color w:val="000000"/>
                <w:sz w:val="20"/>
                <w:szCs w:val="20"/>
              </w:rPr>
            </w:pPr>
            <w:r w:rsidRPr="00B90AAA">
              <w:rPr>
                <w:rFonts w:eastAsia="Times New Roman" w:cs="Times New Roman"/>
                <w:color w:val="000000"/>
                <w:sz w:val="20"/>
                <w:szCs w:val="20"/>
              </w:rPr>
              <w:t>Average Across Dimensions</w:t>
            </w:r>
          </w:p>
        </w:tc>
        <w:tc>
          <w:tcPr>
            <w:tcW w:w="1075" w:type="dxa"/>
            <w:tcBorders>
              <w:top w:val="nil"/>
              <w:left w:val="nil"/>
              <w:bottom w:val="single" w:sz="4" w:space="0" w:color="auto"/>
              <w:right w:val="single" w:sz="4" w:space="0" w:color="auto"/>
            </w:tcBorders>
            <w:shd w:val="clear" w:color="auto" w:fill="auto"/>
            <w:vAlign w:val="center"/>
            <w:hideMark/>
          </w:tcPr>
          <w:p w14:paraId="2F0597B8"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19%</w:t>
            </w:r>
          </w:p>
        </w:tc>
        <w:tc>
          <w:tcPr>
            <w:tcW w:w="3240" w:type="dxa"/>
            <w:tcBorders>
              <w:top w:val="nil"/>
              <w:left w:val="nil"/>
              <w:bottom w:val="single" w:sz="4" w:space="0" w:color="auto"/>
              <w:right w:val="single" w:sz="4" w:space="0" w:color="auto"/>
            </w:tcBorders>
            <w:shd w:val="clear" w:color="auto" w:fill="auto"/>
            <w:vAlign w:val="center"/>
            <w:hideMark/>
          </w:tcPr>
          <w:p w14:paraId="049A4630"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81%</w:t>
            </w:r>
          </w:p>
        </w:tc>
        <w:tc>
          <w:tcPr>
            <w:tcW w:w="2880" w:type="dxa"/>
            <w:tcBorders>
              <w:top w:val="single" w:sz="4" w:space="0" w:color="auto"/>
              <w:left w:val="nil"/>
              <w:bottom w:val="single" w:sz="4" w:space="0" w:color="auto"/>
              <w:right w:val="single" w:sz="4" w:space="0" w:color="auto"/>
            </w:tcBorders>
            <w:shd w:val="clear" w:color="auto" w:fill="B3B3B3"/>
            <w:vAlign w:val="center"/>
            <w:hideMark/>
          </w:tcPr>
          <w:p w14:paraId="2D8358D6" w14:textId="77777777" w:rsidR="00FA564E" w:rsidRPr="00B90AAA" w:rsidRDefault="00FA564E" w:rsidP="00FA564E">
            <w:pPr>
              <w:jc w:val="center"/>
              <w:rPr>
                <w:rFonts w:eastAsia="Times New Roman" w:cs="Times New Roman"/>
                <w:color w:val="000000"/>
                <w:sz w:val="20"/>
                <w:szCs w:val="20"/>
              </w:rPr>
            </w:pPr>
            <w:r w:rsidRPr="00B90AAA">
              <w:rPr>
                <w:rFonts w:eastAsia="Times New Roman" w:cs="Times New Roman"/>
                <w:color w:val="000000"/>
                <w:sz w:val="20"/>
                <w:szCs w:val="20"/>
              </w:rPr>
              <w:t>5%</w:t>
            </w:r>
          </w:p>
        </w:tc>
      </w:tr>
    </w:tbl>
    <w:p w14:paraId="7C7815F6" w14:textId="77777777" w:rsidR="00FA564E" w:rsidRDefault="00FA564E" w:rsidP="00FA564E">
      <w:pPr>
        <w:rPr>
          <w:sz w:val="24"/>
          <w:szCs w:val="24"/>
        </w:rPr>
      </w:pPr>
    </w:p>
    <w:p w14:paraId="0D71151F" w14:textId="7B24F764" w:rsidR="00FA564E" w:rsidRPr="00954B49" w:rsidRDefault="00FA564E" w:rsidP="00FA564E">
      <w:pPr>
        <w:rPr>
          <w:sz w:val="20"/>
          <w:szCs w:val="20"/>
        </w:rPr>
      </w:pPr>
      <w:r w:rsidRPr="00954B49">
        <w:rPr>
          <w:sz w:val="20"/>
          <w:szCs w:val="20"/>
        </w:rPr>
        <w:t>The</w:t>
      </w:r>
      <w:r w:rsidR="00954B49" w:rsidRPr="00954B49">
        <w:rPr>
          <w:sz w:val="20"/>
          <w:szCs w:val="20"/>
        </w:rPr>
        <w:t xml:space="preserve">se </w:t>
      </w:r>
      <w:r w:rsidRPr="00954B49">
        <w:rPr>
          <w:sz w:val="20"/>
          <w:szCs w:val="20"/>
        </w:rPr>
        <w:t xml:space="preserve">tables show that 19%-29% of students in Tier 2 courses achieved the Tier 2 outcomes in </w:t>
      </w:r>
      <w:proofErr w:type="gramStart"/>
      <w:r w:rsidRPr="00954B49">
        <w:rPr>
          <w:sz w:val="20"/>
          <w:szCs w:val="20"/>
        </w:rPr>
        <w:t>Fall</w:t>
      </w:r>
      <w:proofErr w:type="gramEnd"/>
      <w:r w:rsidRPr="00954B49">
        <w:rPr>
          <w:sz w:val="20"/>
          <w:szCs w:val="20"/>
        </w:rPr>
        <w:t xml:space="preserve"> 2015</w:t>
      </w:r>
      <w:r w:rsidR="002518AB">
        <w:rPr>
          <w:sz w:val="20"/>
          <w:szCs w:val="20"/>
        </w:rPr>
        <w:t>.</w:t>
      </w:r>
      <w:r w:rsidR="003B7023">
        <w:rPr>
          <w:sz w:val="20"/>
          <w:szCs w:val="20"/>
        </w:rPr>
        <w:t xml:space="preserve"> </w:t>
      </w:r>
      <w:r w:rsidR="0011590C">
        <w:rPr>
          <w:sz w:val="20"/>
          <w:szCs w:val="20"/>
        </w:rPr>
        <w:t>Interestingly, s</w:t>
      </w:r>
      <w:r w:rsidRPr="00954B49">
        <w:rPr>
          <w:sz w:val="20"/>
          <w:szCs w:val="20"/>
        </w:rPr>
        <w:t>tudents in Tier 2 courses did slightly better at meeting Tier 1 Critical Thinking standards than students in Tier 1 courses (</w:t>
      </w:r>
      <w:r w:rsidR="009C3A0E">
        <w:rPr>
          <w:sz w:val="20"/>
          <w:szCs w:val="20"/>
        </w:rPr>
        <w:t xml:space="preserve">by </w:t>
      </w:r>
      <w:r w:rsidRPr="00954B49">
        <w:rPr>
          <w:sz w:val="20"/>
          <w:szCs w:val="20"/>
        </w:rPr>
        <w:t xml:space="preserve">about 4%); yet </w:t>
      </w:r>
      <w:r w:rsidR="0011590C">
        <w:rPr>
          <w:sz w:val="20"/>
          <w:szCs w:val="20"/>
        </w:rPr>
        <w:t xml:space="preserve">students in Tier 2 courses </w:t>
      </w:r>
      <w:r w:rsidRPr="00954B49">
        <w:rPr>
          <w:sz w:val="20"/>
          <w:szCs w:val="20"/>
        </w:rPr>
        <w:t xml:space="preserve">did </w:t>
      </w:r>
      <w:r w:rsidRPr="00954B49">
        <w:rPr>
          <w:i/>
          <w:sz w:val="20"/>
          <w:szCs w:val="20"/>
        </w:rPr>
        <w:t xml:space="preserve">a lot </w:t>
      </w:r>
      <w:r w:rsidRPr="00954B49">
        <w:rPr>
          <w:sz w:val="20"/>
          <w:szCs w:val="20"/>
        </w:rPr>
        <w:t>better (</w:t>
      </w:r>
      <w:r w:rsidR="009C3A0E">
        <w:rPr>
          <w:sz w:val="20"/>
          <w:szCs w:val="20"/>
        </w:rPr>
        <w:t xml:space="preserve">by </w:t>
      </w:r>
      <w:r w:rsidRPr="00954B49">
        <w:rPr>
          <w:sz w:val="20"/>
          <w:szCs w:val="20"/>
        </w:rPr>
        <w:t xml:space="preserve">25%) at meeting Tier 1 Written Communication standards. </w:t>
      </w:r>
    </w:p>
    <w:p w14:paraId="4643F757" w14:textId="77777777" w:rsidR="00FA564E" w:rsidRDefault="00FA564E" w:rsidP="00FA564E">
      <w:pPr>
        <w:rPr>
          <w:sz w:val="24"/>
          <w:szCs w:val="24"/>
        </w:rPr>
      </w:pPr>
    </w:p>
    <w:tbl>
      <w:tblPr>
        <w:tblW w:w="8745" w:type="dxa"/>
        <w:tblInd w:w="93" w:type="dxa"/>
        <w:tblLayout w:type="fixed"/>
        <w:tblLook w:val="04A0" w:firstRow="1" w:lastRow="0" w:firstColumn="1" w:lastColumn="0" w:noHBand="0" w:noVBand="1"/>
      </w:tblPr>
      <w:tblGrid>
        <w:gridCol w:w="1749"/>
        <w:gridCol w:w="1749"/>
        <w:gridCol w:w="1749"/>
        <w:gridCol w:w="1749"/>
        <w:gridCol w:w="1749"/>
      </w:tblGrid>
      <w:tr w:rsidR="00FA564E" w:rsidRPr="009C3A0E" w14:paraId="51535131" w14:textId="77777777" w:rsidTr="00FA564E">
        <w:trPr>
          <w:trHeight w:val="280"/>
        </w:trPr>
        <w:tc>
          <w:tcPr>
            <w:tcW w:w="1300" w:type="dxa"/>
            <w:tcBorders>
              <w:top w:val="nil"/>
              <w:left w:val="nil"/>
              <w:bottom w:val="nil"/>
              <w:right w:val="nil"/>
            </w:tcBorders>
            <w:shd w:val="clear" w:color="auto" w:fill="auto"/>
            <w:noWrap/>
            <w:vAlign w:val="bottom"/>
            <w:hideMark/>
          </w:tcPr>
          <w:p w14:paraId="38749D79" w14:textId="77777777" w:rsidR="00FA564E" w:rsidRPr="009C3A0E" w:rsidRDefault="00FA564E" w:rsidP="00FA564E">
            <w:pPr>
              <w:rPr>
                <w:rFonts w:eastAsia="Times New Roman" w:cs="Times New Roman"/>
                <w:b/>
                <w:color w:val="000000"/>
                <w:sz w:val="20"/>
                <w:szCs w:val="20"/>
              </w:rPr>
            </w:pPr>
          </w:p>
        </w:tc>
        <w:tc>
          <w:tcPr>
            <w:tcW w:w="2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9EEC4" w14:textId="77777777" w:rsidR="00FA564E" w:rsidRPr="009C3A0E" w:rsidRDefault="00FA564E" w:rsidP="00FA564E">
            <w:pPr>
              <w:jc w:val="center"/>
              <w:rPr>
                <w:rFonts w:eastAsia="Times New Roman" w:cs="Times New Roman"/>
                <w:b/>
                <w:color w:val="000000"/>
                <w:sz w:val="20"/>
                <w:szCs w:val="20"/>
              </w:rPr>
            </w:pPr>
            <w:r w:rsidRPr="009C3A0E">
              <w:rPr>
                <w:rFonts w:eastAsia="Times New Roman" w:cs="Times New Roman"/>
                <w:b/>
                <w:color w:val="000000"/>
                <w:sz w:val="20"/>
                <w:szCs w:val="20"/>
              </w:rPr>
              <w:t>Critical Thinking</w:t>
            </w:r>
          </w:p>
        </w:tc>
        <w:tc>
          <w:tcPr>
            <w:tcW w:w="2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D9BDCE" w14:textId="77777777" w:rsidR="00FA564E" w:rsidRPr="009C3A0E" w:rsidRDefault="00FA564E" w:rsidP="00FA564E">
            <w:pPr>
              <w:jc w:val="center"/>
              <w:rPr>
                <w:rFonts w:eastAsia="Times New Roman" w:cs="Times New Roman"/>
                <w:b/>
                <w:color w:val="000000"/>
                <w:sz w:val="20"/>
                <w:szCs w:val="20"/>
              </w:rPr>
            </w:pPr>
            <w:r w:rsidRPr="009C3A0E">
              <w:rPr>
                <w:rFonts w:eastAsia="Times New Roman" w:cs="Times New Roman"/>
                <w:b/>
                <w:color w:val="000000"/>
                <w:sz w:val="20"/>
                <w:szCs w:val="20"/>
              </w:rPr>
              <w:t>Written Communication</w:t>
            </w:r>
          </w:p>
        </w:tc>
      </w:tr>
      <w:tr w:rsidR="00FA564E" w:rsidRPr="009C3A0E" w14:paraId="31600029" w14:textId="77777777" w:rsidTr="00FA564E">
        <w:trPr>
          <w:trHeight w:val="280"/>
        </w:trPr>
        <w:tc>
          <w:tcPr>
            <w:tcW w:w="1300" w:type="dxa"/>
            <w:tcBorders>
              <w:top w:val="nil"/>
              <w:left w:val="nil"/>
              <w:bottom w:val="nil"/>
              <w:right w:val="nil"/>
            </w:tcBorders>
            <w:shd w:val="clear" w:color="auto" w:fill="auto"/>
            <w:noWrap/>
            <w:vAlign w:val="bottom"/>
            <w:hideMark/>
          </w:tcPr>
          <w:p w14:paraId="045E97FA" w14:textId="77777777" w:rsidR="00FA564E" w:rsidRPr="009C3A0E" w:rsidRDefault="00FA564E" w:rsidP="00FA564E">
            <w:pPr>
              <w:rPr>
                <w:rFonts w:eastAsia="Times New Roman" w:cs="Times New Roman"/>
                <w:b/>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BF8F6C3"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Tier 1 Level Achieved</w:t>
            </w:r>
          </w:p>
        </w:tc>
        <w:tc>
          <w:tcPr>
            <w:tcW w:w="1300" w:type="dxa"/>
            <w:tcBorders>
              <w:top w:val="nil"/>
              <w:left w:val="nil"/>
              <w:bottom w:val="single" w:sz="4" w:space="0" w:color="auto"/>
              <w:right w:val="single" w:sz="4" w:space="0" w:color="auto"/>
            </w:tcBorders>
            <w:shd w:val="clear" w:color="auto" w:fill="auto"/>
            <w:noWrap/>
            <w:vAlign w:val="bottom"/>
            <w:hideMark/>
          </w:tcPr>
          <w:p w14:paraId="591F5F5F"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Tier 2 Level Achieved</w:t>
            </w:r>
          </w:p>
        </w:tc>
        <w:tc>
          <w:tcPr>
            <w:tcW w:w="1300" w:type="dxa"/>
            <w:tcBorders>
              <w:top w:val="nil"/>
              <w:left w:val="nil"/>
              <w:bottom w:val="single" w:sz="4" w:space="0" w:color="auto"/>
              <w:right w:val="single" w:sz="4" w:space="0" w:color="auto"/>
            </w:tcBorders>
            <w:shd w:val="clear" w:color="auto" w:fill="auto"/>
            <w:noWrap/>
            <w:vAlign w:val="bottom"/>
            <w:hideMark/>
          </w:tcPr>
          <w:p w14:paraId="239A92C2"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Tier 1 Level Achieved</w:t>
            </w:r>
          </w:p>
        </w:tc>
        <w:tc>
          <w:tcPr>
            <w:tcW w:w="1300" w:type="dxa"/>
            <w:tcBorders>
              <w:top w:val="nil"/>
              <w:left w:val="nil"/>
              <w:bottom w:val="single" w:sz="4" w:space="0" w:color="auto"/>
              <w:right w:val="single" w:sz="4" w:space="0" w:color="auto"/>
            </w:tcBorders>
            <w:shd w:val="clear" w:color="auto" w:fill="auto"/>
            <w:noWrap/>
            <w:vAlign w:val="bottom"/>
            <w:hideMark/>
          </w:tcPr>
          <w:p w14:paraId="7BFCEEBF"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Tier 2 Level Achieved</w:t>
            </w:r>
          </w:p>
        </w:tc>
      </w:tr>
      <w:tr w:rsidR="00FA564E" w:rsidRPr="009C3A0E" w14:paraId="62702A77" w14:textId="77777777" w:rsidTr="00FA564E">
        <w:trPr>
          <w:trHeight w:val="28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2F897" w14:textId="77777777" w:rsidR="00FA564E" w:rsidRPr="009C3A0E" w:rsidRDefault="00FA564E" w:rsidP="00FA564E">
            <w:pPr>
              <w:rPr>
                <w:rFonts w:eastAsia="Times New Roman" w:cs="Times New Roman"/>
                <w:b/>
                <w:color w:val="000000"/>
                <w:sz w:val="20"/>
                <w:szCs w:val="20"/>
              </w:rPr>
            </w:pPr>
            <w:r w:rsidRPr="009C3A0E">
              <w:rPr>
                <w:rFonts w:eastAsia="Times New Roman" w:cs="Times New Roman"/>
                <w:b/>
                <w:color w:val="000000"/>
                <w:sz w:val="20"/>
                <w:szCs w:val="20"/>
              </w:rPr>
              <w:t>Tier 1 Classes</w:t>
            </w:r>
          </w:p>
        </w:tc>
        <w:tc>
          <w:tcPr>
            <w:tcW w:w="1300" w:type="dxa"/>
            <w:tcBorders>
              <w:top w:val="nil"/>
              <w:left w:val="nil"/>
              <w:bottom w:val="single" w:sz="4" w:space="0" w:color="auto"/>
              <w:right w:val="single" w:sz="4" w:space="0" w:color="auto"/>
            </w:tcBorders>
            <w:shd w:val="clear" w:color="auto" w:fill="auto"/>
            <w:noWrap/>
            <w:vAlign w:val="bottom"/>
            <w:hideMark/>
          </w:tcPr>
          <w:p w14:paraId="66378E92"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58%</w:t>
            </w:r>
          </w:p>
        </w:tc>
        <w:tc>
          <w:tcPr>
            <w:tcW w:w="1300" w:type="dxa"/>
            <w:tcBorders>
              <w:top w:val="nil"/>
              <w:left w:val="nil"/>
              <w:bottom w:val="single" w:sz="4" w:space="0" w:color="auto"/>
              <w:right w:val="single" w:sz="4" w:space="0" w:color="auto"/>
            </w:tcBorders>
            <w:shd w:val="clear" w:color="auto" w:fill="auto"/>
            <w:noWrap/>
            <w:vAlign w:val="bottom"/>
            <w:hideMark/>
          </w:tcPr>
          <w:p w14:paraId="7C656F72"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13%</w:t>
            </w:r>
          </w:p>
        </w:tc>
        <w:tc>
          <w:tcPr>
            <w:tcW w:w="1300" w:type="dxa"/>
            <w:tcBorders>
              <w:top w:val="nil"/>
              <w:left w:val="nil"/>
              <w:bottom w:val="single" w:sz="4" w:space="0" w:color="auto"/>
              <w:right w:val="single" w:sz="4" w:space="0" w:color="auto"/>
            </w:tcBorders>
            <w:shd w:val="clear" w:color="auto" w:fill="auto"/>
            <w:noWrap/>
            <w:vAlign w:val="bottom"/>
            <w:hideMark/>
          </w:tcPr>
          <w:p w14:paraId="5A7164A5"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58%</w:t>
            </w:r>
          </w:p>
        </w:tc>
        <w:tc>
          <w:tcPr>
            <w:tcW w:w="1300" w:type="dxa"/>
            <w:tcBorders>
              <w:top w:val="nil"/>
              <w:left w:val="nil"/>
              <w:bottom w:val="single" w:sz="4" w:space="0" w:color="auto"/>
              <w:right w:val="single" w:sz="4" w:space="0" w:color="auto"/>
            </w:tcBorders>
            <w:shd w:val="clear" w:color="auto" w:fill="auto"/>
            <w:noWrap/>
            <w:vAlign w:val="bottom"/>
            <w:hideMark/>
          </w:tcPr>
          <w:p w14:paraId="4B2EEE13"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9%</w:t>
            </w:r>
          </w:p>
        </w:tc>
      </w:tr>
      <w:tr w:rsidR="00FA564E" w:rsidRPr="009C3A0E" w14:paraId="79BB1064" w14:textId="77777777" w:rsidTr="00FA564E">
        <w:trPr>
          <w:trHeight w:val="2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419EFBA" w14:textId="77777777" w:rsidR="00FA564E" w:rsidRPr="009C3A0E" w:rsidRDefault="00FA564E" w:rsidP="00FA564E">
            <w:pPr>
              <w:rPr>
                <w:rFonts w:eastAsia="Times New Roman" w:cs="Times New Roman"/>
                <w:b/>
                <w:color w:val="000000"/>
                <w:sz w:val="20"/>
                <w:szCs w:val="20"/>
              </w:rPr>
            </w:pPr>
            <w:r w:rsidRPr="009C3A0E">
              <w:rPr>
                <w:rFonts w:eastAsia="Times New Roman" w:cs="Times New Roman"/>
                <w:b/>
                <w:color w:val="000000"/>
                <w:sz w:val="20"/>
                <w:szCs w:val="20"/>
              </w:rPr>
              <w:t>Tier 2 Classes</w:t>
            </w:r>
          </w:p>
        </w:tc>
        <w:tc>
          <w:tcPr>
            <w:tcW w:w="1300" w:type="dxa"/>
            <w:tcBorders>
              <w:top w:val="nil"/>
              <w:left w:val="nil"/>
              <w:bottom w:val="single" w:sz="4" w:space="0" w:color="auto"/>
              <w:right w:val="single" w:sz="4" w:space="0" w:color="auto"/>
            </w:tcBorders>
            <w:shd w:val="clear" w:color="auto" w:fill="auto"/>
            <w:noWrap/>
            <w:vAlign w:val="bottom"/>
            <w:hideMark/>
          </w:tcPr>
          <w:p w14:paraId="720E5389"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62%</w:t>
            </w:r>
          </w:p>
        </w:tc>
        <w:tc>
          <w:tcPr>
            <w:tcW w:w="1300" w:type="dxa"/>
            <w:tcBorders>
              <w:top w:val="nil"/>
              <w:left w:val="nil"/>
              <w:bottom w:val="single" w:sz="4" w:space="0" w:color="auto"/>
              <w:right w:val="single" w:sz="4" w:space="0" w:color="auto"/>
            </w:tcBorders>
            <w:shd w:val="clear" w:color="auto" w:fill="auto"/>
            <w:noWrap/>
            <w:vAlign w:val="bottom"/>
            <w:hideMark/>
          </w:tcPr>
          <w:p w14:paraId="2AA7ABFA"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29%</w:t>
            </w:r>
          </w:p>
        </w:tc>
        <w:tc>
          <w:tcPr>
            <w:tcW w:w="1300" w:type="dxa"/>
            <w:tcBorders>
              <w:top w:val="nil"/>
              <w:left w:val="nil"/>
              <w:bottom w:val="single" w:sz="4" w:space="0" w:color="auto"/>
              <w:right w:val="single" w:sz="4" w:space="0" w:color="auto"/>
            </w:tcBorders>
            <w:shd w:val="clear" w:color="auto" w:fill="auto"/>
            <w:noWrap/>
            <w:vAlign w:val="bottom"/>
            <w:hideMark/>
          </w:tcPr>
          <w:p w14:paraId="7D7D5D60"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83%</w:t>
            </w:r>
          </w:p>
        </w:tc>
        <w:tc>
          <w:tcPr>
            <w:tcW w:w="1300" w:type="dxa"/>
            <w:tcBorders>
              <w:top w:val="nil"/>
              <w:left w:val="nil"/>
              <w:bottom w:val="single" w:sz="4" w:space="0" w:color="auto"/>
              <w:right w:val="single" w:sz="4" w:space="0" w:color="auto"/>
            </w:tcBorders>
            <w:shd w:val="clear" w:color="auto" w:fill="auto"/>
            <w:noWrap/>
            <w:vAlign w:val="bottom"/>
            <w:hideMark/>
          </w:tcPr>
          <w:p w14:paraId="4D74179F" w14:textId="77777777" w:rsidR="00FA564E" w:rsidRPr="009C3A0E" w:rsidRDefault="00FA564E" w:rsidP="00FA564E">
            <w:pPr>
              <w:jc w:val="center"/>
              <w:rPr>
                <w:rFonts w:eastAsia="Times New Roman" w:cs="Times New Roman"/>
                <w:color w:val="000000"/>
                <w:sz w:val="20"/>
                <w:szCs w:val="20"/>
              </w:rPr>
            </w:pPr>
            <w:r w:rsidRPr="009C3A0E">
              <w:rPr>
                <w:rFonts w:eastAsia="Times New Roman" w:cs="Times New Roman"/>
                <w:color w:val="000000"/>
                <w:sz w:val="20"/>
                <w:szCs w:val="20"/>
              </w:rPr>
              <w:t>19%</w:t>
            </w:r>
          </w:p>
        </w:tc>
      </w:tr>
    </w:tbl>
    <w:p w14:paraId="0DED9B8F" w14:textId="77777777" w:rsidR="006018BF" w:rsidRDefault="006018BF" w:rsidP="00FA564E">
      <w:pPr>
        <w:rPr>
          <w:sz w:val="20"/>
          <w:szCs w:val="20"/>
        </w:rPr>
      </w:pPr>
    </w:p>
    <w:p w14:paraId="20A09C95" w14:textId="05A0CBE0" w:rsidR="00FA564E" w:rsidRDefault="00FA564E" w:rsidP="00FA564E">
      <w:pPr>
        <w:rPr>
          <w:sz w:val="20"/>
          <w:szCs w:val="20"/>
        </w:rPr>
      </w:pPr>
      <w:r w:rsidRPr="009C3A0E">
        <w:rPr>
          <w:sz w:val="20"/>
          <w:szCs w:val="20"/>
        </w:rPr>
        <w:t>Students in Tier 2 classes did 16% better than their Tier 1 counterparts at meeting Tier 2 Critical Thinking standards; and students in Tier 2 classes did 10% better than their Tier 1 counterparts at meeting Tier 2 W</w:t>
      </w:r>
      <w:r w:rsidR="00B03F6D">
        <w:rPr>
          <w:sz w:val="20"/>
          <w:szCs w:val="20"/>
        </w:rPr>
        <w:t xml:space="preserve">ritten Communication standards. Given the Tier 1 and 2 distribution requirements in effect in </w:t>
      </w:r>
      <w:proofErr w:type="gramStart"/>
      <w:r w:rsidR="00B03F6D">
        <w:rPr>
          <w:sz w:val="20"/>
          <w:szCs w:val="20"/>
        </w:rPr>
        <w:t>Fall</w:t>
      </w:r>
      <w:proofErr w:type="gramEnd"/>
      <w:r w:rsidR="00B03F6D">
        <w:rPr>
          <w:sz w:val="20"/>
          <w:szCs w:val="20"/>
        </w:rPr>
        <w:t xml:space="preserve"> 2015, it is likely that most students in Tier 2 classes had placed into college-level composition courses in their first semester of college. </w:t>
      </w:r>
      <w:r w:rsidR="009C3A0E" w:rsidRPr="009C3A0E">
        <w:rPr>
          <w:sz w:val="20"/>
          <w:szCs w:val="20"/>
        </w:rPr>
        <w:t xml:space="preserve">However, </w:t>
      </w:r>
      <w:r w:rsidR="00F45A7A">
        <w:rPr>
          <w:sz w:val="20"/>
          <w:szCs w:val="20"/>
        </w:rPr>
        <w:t xml:space="preserve">even </w:t>
      </w:r>
      <w:r w:rsidR="00B03F6D">
        <w:rPr>
          <w:sz w:val="20"/>
          <w:szCs w:val="20"/>
        </w:rPr>
        <w:t xml:space="preserve">these </w:t>
      </w:r>
      <w:r w:rsidR="00EC76BC">
        <w:rPr>
          <w:sz w:val="20"/>
          <w:szCs w:val="20"/>
        </w:rPr>
        <w:t xml:space="preserve">presumably </w:t>
      </w:r>
      <w:r w:rsidR="00380609">
        <w:rPr>
          <w:sz w:val="20"/>
          <w:szCs w:val="20"/>
        </w:rPr>
        <w:t xml:space="preserve">stronger writers </w:t>
      </w:r>
      <w:r w:rsidRPr="009C3A0E">
        <w:rPr>
          <w:sz w:val="20"/>
          <w:szCs w:val="20"/>
        </w:rPr>
        <w:t xml:space="preserve">were unlikely to have achieved Tier 2 Written Communication outcomes by the end of the first semester of college. </w:t>
      </w:r>
    </w:p>
    <w:p w14:paraId="1A07B736" w14:textId="77777777" w:rsidR="00F11C19" w:rsidRDefault="00F11C19" w:rsidP="000E1D5E">
      <w:pPr>
        <w:rPr>
          <w:sz w:val="20"/>
          <w:szCs w:val="20"/>
        </w:rPr>
      </w:pPr>
    </w:p>
    <w:p w14:paraId="05742CA1" w14:textId="101CAFF1" w:rsidR="000E1D5E" w:rsidRPr="00BB28C4" w:rsidRDefault="00CA5448" w:rsidP="000E1D5E">
      <w:pPr>
        <w:rPr>
          <w:sz w:val="20"/>
          <w:szCs w:val="20"/>
        </w:rPr>
      </w:pPr>
      <w:r>
        <w:rPr>
          <w:sz w:val="20"/>
          <w:szCs w:val="20"/>
        </w:rPr>
        <w:lastRenderedPageBreak/>
        <w:t>T</w:t>
      </w:r>
      <w:r w:rsidR="000E1D5E">
        <w:rPr>
          <w:sz w:val="20"/>
          <w:szCs w:val="20"/>
        </w:rPr>
        <w:t>he achievement rate</w:t>
      </w:r>
      <w:r>
        <w:rPr>
          <w:sz w:val="20"/>
          <w:szCs w:val="20"/>
        </w:rPr>
        <w:t>s</w:t>
      </w:r>
      <w:r w:rsidR="000E1D5E">
        <w:rPr>
          <w:sz w:val="20"/>
          <w:szCs w:val="20"/>
        </w:rPr>
        <w:t xml:space="preserve"> of students on signature assignments </w:t>
      </w:r>
      <w:r>
        <w:rPr>
          <w:sz w:val="20"/>
          <w:szCs w:val="20"/>
        </w:rPr>
        <w:t xml:space="preserve">in </w:t>
      </w:r>
      <w:proofErr w:type="gramStart"/>
      <w:r>
        <w:rPr>
          <w:sz w:val="20"/>
          <w:szCs w:val="20"/>
        </w:rPr>
        <w:t>Fall</w:t>
      </w:r>
      <w:proofErr w:type="gramEnd"/>
      <w:r>
        <w:rPr>
          <w:sz w:val="20"/>
          <w:szCs w:val="20"/>
        </w:rPr>
        <w:t xml:space="preserve"> 2015 </w:t>
      </w:r>
      <w:r w:rsidR="000E1D5E">
        <w:rPr>
          <w:sz w:val="20"/>
          <w:szCs w:val="20"/>
        </w:rPr>
        <w:t xml:space="preserve">must be seen in light of the fact that </w:t>
      </w:r>
      <w:r w:rsidR="000E1D5E" w:rsidRPr="00150B9C">
        <w:rPr>
          <w:sz w:val="20"/>
          <w:szCs w:val="20"/>
        </w:rPr>
        <w:t>Fall 2015 was the first semester of General Education program implementation and assessment</w:t>
      </w:r>
      <w:r w:rsidR="000E1D5E">
        <w:rPr>
          <w:sz w:val="20"/>
          <w:szCs w:val="20"/>
        </w:rPr>
        <w:t xml:space="preserve">, and that all students who submitted signature assignments, in both Tier 1 and Tier 2 classes, were first-semester freshmen. In addition, it is relevant to consider that NJCU Honors students take an alternative set of courses outside the regular Gen Ed program; as a result, their presumably stronger outcomes are not included in these results </w:t>
      </w:r>
      <w:r w:rsidR="000E1D5E" w:rsidRPr="00150B9C">
        <w:rPr>
          <w:sz w:val="20"/>
          <w:szCs w:val="20"/>
        </w:rPr>
        <w:t>(</w:t>
      </w:r>
      <w:r w:rsidR="000E1D5E">
        <w:rPr>
          <w:sz w:val="20"/>
          <w:szCs w:val="20"/>
        </w:rPr>
        <w:t>though Business H</w:t>
      </w:r>
      <w:r w:rsidR="000E1D5E" w:rsidRPr="00150B9C">
        <w:rPr>
          <w:sz w:val="20"/>
          <w:szCs w:val="20"/>
        </w:rPr>
        <w:t xml:space="preserve">onors </w:t>
      </w:r>
      <w:r w:rsidR="000E1D5E">
        <w:rPr>
          <w:sz w:val="20"/>
          <w:szCs w:val="20"/>
        </w:rPr>
        <w:t xml:space="preserve">students do take Gen Ed courses so their scores are </w:t>
      </w:r>
      <w:r w:rsidR="000E1D5E" w:rsidRPr="00150B9C">
        <w:rPr>
          <w:sz w:val="20"/>
          <w:szCs w:val="20"/>
        </w:rPr>
        <w:t xml:space="preserve">included). </w:t>
      </w:r>
    </w:p>
    <w:p w14:paraId="7A455824" w14:textId="77777777" w:rsidR="00F107A7" w:rsidRDefault="00F107A7" w:rsidP="005A3E27">
      <w:pPr>
        <w:rPr>
          <w:sz w:val="20"/>
          <w:szCs w:val="20"/>
        </w:rPr>
      </w:pPr>
    </w:p>
    <w:p w14:paraId="7F808553" w14:textId="28D6DA83" w:rsidR="00E51729" w:rsidRDefault="00085082" w:rsidP="00EA4DD1">
      <w:pPr>
        <w:rPr>
          <w:sz w:val="20"/>
          <w:szCs w:val="20"/>
        </w:rPr>
      </w:pPr>
      <w:r>
        <w:rPr>
          <w:sz w:val="20"/>
          <w:szCs w:val="20"/>
        </w:rPr>
        <w:t>I</w:t>
      </w:r>
      <w:r w:rsidR="00B25296">
        <w:rPr>
          <w:sz w:val="20"/>
          <w:szCs w:val="20"/>
        </w:rPr>
        <w:t xml:space="preserve">n addition to </w:t>
      </w:r>
      <w:r w:rsidR="007A20D2">
        <w:rPr>
          <w:sz w:val="20"/>
          <w:szCs w:val="20"/>
        </w:rPr>
        <w:t xml:space="preserve">addressing </w:t>
      </w:r>
      <w:r w:rsidR="00B25296">
        <w:rPr>
          <w:sz w:val="20"/>
          <w:szCs w:val="20"/>
        </w:rPr>
        <w:t xml:space="preserve">the main </w:t>
      </w:r>
      <w:r w:rsidR="007A20D2">
        <w:rPr>
          <w:sz w:val="20"/>
          <w:szCs w:val="20"/>
        </w:rPr>
        <w:t xml:space="preserve">issue </w:t>
      </w:r>
      <w:r w:rsidR="00B25296">
        <w:rPr>
          <w:sz w:val="20"/>
          <w:szCs w:val="20"/>
        </w:rPr>
        <w:t>of student achievement</w:t>
      </w:r>
      <w:r w:rsidR="007A20D2">
        <w:rPr>
          <w:sz w:val="20"/>
          <w:szCs w:val="20"/>
        </w:rPr>
        <w:t xml:space="preserve"> of the learning goals</w:t>
      </w:r>
      <w:r w:rsidR="00B25296">
        <w:rPr>
          <w:sz w:val="20"/>
          <w:szCs w:val="20"/>
        </w:rPr>
        <w:t xml:space="preserve">, there are a number of </w:t>
      </w:r>
      <w:r w:rsidR="007A20D2">
        <w:rPr>
          <w:sz w:val="20"/>
          <w:szCs w:val="20"/>
        </w:rPr>
        <w:t xml:space="preserve">practical, logistical, and </w:t>
      </w:r>
      <w:r w:rsidR="00B25296">
        <w:rPr>
          <w:sz w:val="20"/>
          <w:szCs w:val="20"/>
        </w:rPr>
        <w:t xml:space="preserve">procedural issues </w:t>
      </w:r>
      <w:r w:rsidR="002C24EC">
        <w:rPr>
          <w:sz w:val="20"/>
          <w:szCs w:val="20"/>
        </w:rPr>
        <w:t xml:space="preserve">to </w:t>
      </w:r>
      <w:r w:rsidR="00B25296">
        <w:rPr>
          <w:sz w:val="20"/>
          <w:szCs w:val="20"/>
        </w:rPr>
        <w:t>be addressed</w:t>
      </w:r>
      <w:r w:rsidR="00275E2B">
        <w:rPr>
          <w:sz w:val="20"/>
          <w:szCs w:val="20"/>
        </w:rPr>
        <w:t>,</w:t>
      </w:r>
      <w:r w:rsidR="00C965BB">
        <w:rPr>
          <w:sz w:val="20"/>
          <w:szCs w:val="20"/>
        </w:rPr>
        <w:t xml:space="preserve"> including </w:t>
      </w:r>
      <w:r w:rsidR="00011649">
        <w:rPr>
          <w:sz w:val="20"/>
          <w:szCs w:val="20"/>
        </w:rPr>
        <w:t xml:space="preserve">a </w:t>
      </w:r>
      <w:r w:rsidR="007A20D2">
        <w:rPr>
          <w:sz w:val="20"/>
          <w:szCs w:val="20"/>
        </w:rPr>
        <w:t xml:space="preserve">low </w:t>
      </w:r>
      <w:r w:rsidR="003C7C9C">
        <w:rPr>
          <w:sz w:val="20"/>
          <w:szCs w:val="20"/>
        </w:rPr>
        <w:t xml:space="preserve">(46%) </w:t>
      </w:r>
      <w:r w:rsidR="0082489A">
        <w:rPr>
          <w:sz w:val="20"/>
          <w:szCs w:val="20"/>
        </w:rPr>
        <w:t xml:space="preserve">signature assignment </w:t>
      </w:r>
      <w:r w:rsidR="00197452" w:rsidRPr="00150B9C">
        <w:rPr>
          <w:sz w:val="20"/>
          <w:szCs w:val="20"/>
        </w:rPr>
        <w:t>submission rate</w:t>
      </w:r>
      <w:r w:rsidR="00C965BB">
        <w:rPr>
          <w:sz w:val="20"/>
          <w:szCs w:val="20"/>
        </w:rPr>
        <w:t>.</w:t>
      </w:r>
      <w:r w:rsidR="008F6E61">
        <w:rPr>
          <w:sz w:val="20"/>
          <w:szCs w:val="20"/>
        </w:rPr>
        <w:t xml:space="preserve"> </w:t>
      </w:r>
      <w:r w:rsidR="006658D1">
        <w:rPr>
          <w:sz w:val="20"/>
          <w:szCs w:val="20"/>
        </w:rPr>
        <w:t>The submission rate is a percentage of the total number</w:t>
      </w:r>
      <w:r w:rsidR="00E01AD8">
        <w:rPr>
          <w:sz w:val="20"/>
          <w:szCs w:val="20"/>
        </w:rPr>
        <w:t xml:space="preserve"> of signature assignments that w</w:t>
      </w:r>
      <w:r w:rsidR="006658D1">
        <w:rPr>
          <w:sz w:val="20"/>
          <w:szCs w:val="20"/>
        </w:rPr>
        <w:t xml:space="preserve">ould have been submitted if </w:t>
      </w:r>
      <w:r w:rsidR="0016241B">
        <w:rPr>
          <w:sz w:val="20"/>
          <w:szCs w:val="20"/>
        </w:rPr>
        <w:t xml:space="preserve">all </w:t>
      </w:r>
      <w:r w:rsidR="006658D1">
        <w:rPr>
          <w:sz w:val="20"/>
          <w:szCs w:val="20"/>
        </w:rPr>
        <w:t>student</w:t>
      </w:r>
      <w:r w:rsidR="0016241B">
        <w:rPr>
          <w:sz w:val="20"/>
          <w:szCs w:val="20"/>
        </w:rPr>
        <w:t>s</w:t>
      </w:r>
      <w:r w:rsidR="006658D1">
        <w:rPr>
          <w:sz w:val="20"/>
          <w:szCs w:val="20"/>
        </w:rPr>
        <w:t xml:space="preserve"> enrolled in </w:t>
      </w:r>
      <w:r w:rsidR="00451F95">
        <w:rPr>
          <w:sz w:val="20"/>
          <w:szCs w:val="20"/>
        </w:rPr>
        <w:t>every General Education course</w:t>
      </w:r>
      <w:r w:rsidR="006658D1">
        <w:rPr>
          <w:sz w:val="20"/>
          <w:szCs w:val="20"/>
        </w:rPr>
        <w:t xml:space="preserve"> had submitted two signature assignments</w:t>
      </w:r>
      <w:r w:rsidR="00F11C19">
        <w:rPr>
          <w:sz w:val="20"/>
          <w:szCs w:val="20"/>
        </w:rPr>
        <w:t xml:space="preserve">, one </w:t>
      </w:r>
      <w:r w:rsidR="006658D1">
        <w:rPr>
          <w:sz w:val="20"/>
          <w:szCs w:val="20"/>
        </w:rPr>
        <w:t xml:space="preserve">for </w:t>
      </w:r>
      <w:r w:rsidR="00F11C19">
        <w:rPr>
          <w:sz w:val="20"/>
          <w:szCs w:val="20"/>
        </w:rPr>
        <w:t xml:space="preserve">each of the </w:t>
      </w:r>
      <w:r w:rsidR="006658D1">
        <w:rPr>
          <w:sz w:val="20"/>
          <w:szCs w:val="20"/>
        </w:rPr>
        <w:t xml:space="preserve">two learning goals covered in </w:t>
      </w:r>
      <w:r w:rsidR="00047130">
        <w:rPr>
          <w:sz w:val="20"/>
          <w:szCs w:val="20"/>
        </w:rPr>
        <w:t xml:space="preserve">each of </w:t>
      </w:r>
      <w:r w:rsidR="0016241B">
        <w:rPr>
          <w:sz w:val="20"/>
          <w:szCs w:val="20"/>
        </w:rPr>
        <w:t xml:space="preserve">their </w:t>
      </w:r>
      <w:r w:rsidR="006658D1">
        <w:rPr>
          <w:sz w:val="20"/>
          <w:szCs w:val="20"/>
        </w:rPr>
        <w:t xml:space="preserve">courses. </w:t>
      </w:r>
      <w:r w:rsidR="003C2B7E">
        <w:rPr>
          <w:sz w:val="20"/>
          <w:szCs w:val="20"/>
        </w:rPr>
        <w:t xml:space="preserve">Improving the submission rate </w:t>
      </w:r>
      <w:r w:rsidR="00F11C19">
        <w:rPr>
          <w:sz w:val="20"/>
          <w:szCs w:val="20"/>
        </w:rPr>
        <w:t xml:space="preserve">must </w:t>
      </w:r>
      <w:r w:rsidR="003C2B7E">
        <w:rPr>
          <w:sz w:val="20"/>
          <w:szCs w:val="20"/>
        </w:rPr>
        <w:t>be a priority in future semesters.</w:t>
      </w:r>
    </w:p>
    <w:p w14:paraId="71AD21D7" w14:textId="77777777" w:rsidR="00E51729" w:rsidRDefault="00E51729" w:rsidP="00EA4DD1">
      <w:pPr>
        <w:rPr>
          <w:sz w:val="20"/>
          <w:szCs w:val="20"/>
        </w:rPr>
      </w:pPr>
    </w:p>
    <w:p w14:paraId="6782871A" w14:textId="020250CD" w:rsidR="005F35C7" w:rsidRDefault="003C2B7E" w:rsidP="006F3522">
      <w:pPr>
        <w:widowControl w:val="0"/>
        <w:autoSpaceDE w:val="0"/>
        <w:autoSpaceDN w:val="0"/>
        <w:adjustRightInd w:val="0"/>
        <w:rPr>
          <w:rFonts w:cs="Garamond"/>
          <w:sz w:val="20"/>
          <w:szCs w:val="20"/>
        </w:rPr>
      </w:pPr>
      <w:r>
        <w:rPr>
          <w:rFonts w:cs="Garamond"/>
          <w:sz w:val="20"/>
          <w:szCs w:val="20"/>
        </w:rPr>
        <w:t>Another</w:t>
      </w:r>
      <w:r w:rsidR="000E1D5E">
        <w:rPr>
          <w:rFonts w:cs="Garamond"/>
          <w:sz w:val="20"/>
          <w:szCs w:val="20"/>
        </w:rPr>
        <w:t xml:space="preserve"> </w:t>
      </w:r>
      <w:r w:rsidR="005F35C7">
        <w:rPr>
          <w:rFonts w:cs="Garamond"/>
          <w:sz w:val="20"/>
          <w:szCs w:val="20"/>
        </w:rPr>
        <w:t xml:space="preserve">key finding of this report is that </w:t>
      </w:r>
      <w:r w:rsidR="00881CC8">
        <w:rPr>
          <w:rFonts w:cs="Garamond"/>
          <w:sz w:val="20"/>
          <w:szCs w:val="20"/>
        </w:rPr>
        <w:t xml:space="preserve">essential </w:t>
      </w:r>
      <w:r w:rsidR="005F35C7">
        <w:rPr>
          <w:rFonts w:cs="Garamond"/>
          <w:sz w:val="20"/>
          <w:szCs w:val="20"/>
        </w:rPr>
        <w:t>work remains to be done to improve inter-rater reliability</w:t>
      </w:r>
      <w:r w:rsidR="006F3522">
        <w:rPr>
          <w:rFonts w:cs="Garamond"/>
          <w:sz w:val="20"/>
          <w:szCs w:val="20"/>
        </w:rPr>
        <w:t>.</w:t>
      </w:r>
      <w:r w:rsidR="006F3522" w:rsidRPr="006F3522">
        <w:rPr>
          <w:rFonts w:cs="Garamond"/>
          <w:sz w:val="20"/>
          <w:szCs w:val="20"/>
        </w:rPr>
        <w:t xml:space="preserve"> Perfect juror agreement </w:t>
      </w:r>
      <w:r w:rsidR="00EF1277">
        <w:rPr>
          <w:rFonts w:cs="Garamond"/>
          <w:sz w:val="20"/>
          <w:szCs w:val="20"/>
        </w:rPr>
        <w:t xml:space="preserve">(among jurors who scored the same assignments) </w:t>
      </w:r>
      <w:r w:rsidR="006F3522" w:rsidRPr="006F3522">
        <w:rPr>
          <w:rFonts w:cs="Garamond"/>
          <w:sz w:val="20"/>
          <w:szCs w:val="20"/>
        </w:rPr>
        <w:t xml:space="preserve">was achieved on average across the seven dimensions of Critical Thinking (Tiers 1 and 2) 28%-37% of the time; for Oral Communication (Tier 1 only) the range for perfect agreement was 35%-58%; and for Written Communication, the range for perfect agreement was 30%-43%. While across-the-board achievement of perfect agreement </w:t>
      </w:r>
      <w:r w:rsidR="005E1CE4">
        <w:rPr>
          <w:rFonts w:cs="Garamond"/>
          <w:sz w:val="20"/>
          <w:szCs w:val="20"/>
        </w:rPr>
        <w:t xml:space="preserve">is </w:t>
      </w:r>
      <w:r w:rsidR="00777537">
        <w:rPr>
          <w:rFonts w:cs="Garamond"/>
          <w:sz w:val="20"/>
          <w:szCs w:val="20"/>
        </w:rPr>
        <w:t>un</w:t>
      </w:r>
      <w:r w:rsidR="006F3522" w:rsidRPr="006F3522">
        <w:rPr>
          <w:rFonts w:cs="Garamond"/>
          <w:sz w:val="20"/>
          <w:szCs w:val="20"/>
        </w:rPr>
        <w:t xml:space="preserve">realistic, it is not unreasonable to expect that continued assessment practice, as well as reflection and communication, will have a positive impact on future results. </w:t>
      </w:r>
      <w:r w:rsidR="00604B3A">
        <w:rPr>
          <w:rFonts w:cs="Garamond"/>
          <w:sz w:val="20"/>
          <w:szCs w:val="20"/>
        </w:rPr>
        <w:t xml:space="preserve">The </w:t>
      </w:r>
      <w:r w:rsidR="00F916BB">
        <w:rPr>
          <w:rFonts w:cs="Garamond"/>
          <w:sz w:val="20"/>
          <w:szCs w:val="20"/>
        </w:rPr>
        <w:t xml:space="preserve">forthcoming action plan must address ways of improving juror agreement numbers in </w:t>
      </w:r>
      <w:r w:rsidR="00737699">
        <w:rPr>
          <w:rFonts w:cs="Garamond"/>
          <w:sz w:val="20"/>
          <w:szCs w:val="20"/>
        </w:rPr>
        <w:t>future</w:t>
      </w:r>
      <w:r w:rsidR="00F916BB">
        <w:rPr>
          <w:rFonts w:cs="Garamond"/>
          <w:sz w:val="20"/>
          <w:szCs w:val="20"/>
        </w:rPr>
        <w:t xml:space="preserve"> semesters. </w:t>
      </w:r>
    </w:p>
    <w:p w14:paraId="4A3DB237" w14:textId="77777777" w:rsidR="005F35C7" w:rsidRDefault="005F35C7" w:rsidP="006F3522">
      <w:pPr>
        <w:widowControl w:val="0"/>
        <w:autoSpaceDE w:val="0"/>
        <w:autoSpaceDN w:val="0"/>
        <w:adjustRightInd w:val="0"/>
        <w:rPr>
          <w:rFonts w:cs="Garamond"/>
          <w:sz w:val="20"/>
          <w:szCs w:val="20"/>
        </w:rPr>
      </w:pPr>
    </w:p>
    <w:p w14:paraId="0996A623" w14:textId="36987315" w:rsidR="006F3522" w:rsidRPr="006F3522" w:rsidRDefault="00BB28C4" w:rsidP="006F3522">
      <w:pPr>
        <w:widowControl w:val="0"/>
        <w:autoSpaceDE w:val="0"/>
        <w:autoSpaceDN w:val="0"/>
        <w:adjustRightInd w:val="0"/>
        <w:rPr>
          <w:rFonts w:cs="Garamond"/>
          <w:sz w:val="20"/>
          <w:szCs w:val="20"/>
        </w:rPr>
      </w:pPr>
      <w:r>
        <w:rPr>
          <w:rFonts w:cs="Garamond"/>
          <w:sz w:val="20"/>
          <w:szCs w:val="20"/>
        </w:rPr>
        <w:t>That said, p</w:t>
      </w:r>
      <w:r w:rsidR="006F3522" w:rsidRPr="006F3522">
        <w:rPr>
          <w:rFonts w:cs="Garamond"/>
          <w:sz w:val="20"/>
          <w:szCs w:val="20"/>
        </w:rPr>
        <w:t xml:space="preserve">erhaps the following </w:t>
      </w:r>
      <w:r w:rsidR="00C9548C">
        <w:rPr>
          <w:rFonts w:cs="Garamond"/>
          <w:sz w:val="20"/>
          <w:szCs w:val="20"/>
        </w:rPr>
        <w:t xml:space="preserve">is </w:t>
      </w:r>
      <w:r w:rsidR="006F3522" w:rsidRPr="006F3522">
        <w:rPr>
          <w:rFonts w:cs="Garamond"/>
          <w:sz w:val="20"/>
          <w:szCs w:val="20"/>
        </w:rPr>
        <w:t>somewhat hopeful</w:t>
      </w:r>
      <w:r w:rsidR="004A14C9">
        <w:rPr>
          <w:rFonts w:cs="Garamond"/>
          <w:sz w:val="20"/>
          <w:szCs w:val="20"/>
        </w:rPr>
        <w:t xml:space="preserve"> for the first semester of implementation</w:t>
      </w:r>
      <w:r w:rsidR="006F3522" w:rsidRPr="006F3522">
        <w:rPr>
          <w:rFonts w:cs="Garamond"/>
          <w:sz w:val="20"/>
          <w:szCs w:val="20"/>
        </w:rPr>
        <w:t xml:space="preserve">: juror pairs reported scores </w:t>
      </w:r>
      <w:r w:rsidR="006F3522" w:rsidRPr="006F3522">
        <w:rPr>
          <w:rFonts w:cs="Garamond"/>
          <w:i/>
          <w:sz w:val="20"/>
          <w:szCs w:val="20"/>
        </w:rPr>
        <w:t xml:space="preserve">within one point of each other </w:t>
      </w:r>
      <w:r w:rsidR="00D6034D">
        <w:rPr>
          <w:rFonts w:cs="Garamond"/>
          <w:sz w:val="20"/>
          <w:szCs w:val="20"/>
        </w:rPr>
        <w:t>(on a 5</w:t>
      </w:r>
      <w:r w:rsidR="008F0DBF">
        <w:rPr>
          <w:rFonts w:cs="Garamond"/>
          <w:sz w:val="20"/>
          <w:szCs w:val="20"/>
        </w:rPr>
        <w:t>-point scale</w:t>
      </w:r>
      <w:r w:rsidR="00D6034D">
        <w:rPr>
          <w:rFonts w:cs="Garamond"/>
          <w:sz w:val="20"/>
          <w:szCs w:val="20"/>
        </w:rPr>
        <w:t xml:space="preserve"> ranging from 0-4</w:t>
      </w:r>
      <w:r w:rsidR="008F0DBF">
        <w:rPr>
          <w:rFonts w:cs="Garamond"/>
          <w:sz w:val="20"/>
          <w:szCs w:val="20"/>
        </w:rPr>
        <w:t xml:space="preserve">) </w:t>
      </w:r>
      <w:r w:rsidR="006F3522" w:rsidRPr="006F3522">
        <w:rPr>
          <w:rFonts w:cs="Garamond"/>
          <w:sz w:val="20"/>
          <w:szCs w:val="20"/>
        </w:rPr>
        <w:t xml:space="preserve">about 70-90% of the time for every dimension of all three learning goals except “Supporting Material” under Tier 1 Oral Communication. In fact, the average juror agreement </w:t>
      </w:r>
      <w:r w:rsidR="006F3522" w:rsidRPr="006F3522">
        <w:rPr>
          <w:rFonts w:cs="Garamond"/>
          <w:i/>
          <w:sz w:val="20"/>
          <w:szCs w:val="20"/>
        </w:rPr>
        <w:t xml:space="preserve">within one point </w:t>
      </w:r>
      <w:r w:rsidR="006F3522" w:rsidRPr="006F3522">
        <w:rPr>
          <w:rFonts w:cs="Garamond"/>
          <w:sz w:val="20"/>
          <w:szCs w:val="20"/>
        </w:rPr>
        <w:t>across Tiers 1 and 2 was 82% for Critical Thinking; 84% for Written Communication; and 69% for Oral Communication—and that went up to 73% if the outlier “Suppo</w:t>
      </w:r>
      <w:r>
        <w:rPr>
          <w:rFonts w:cs="Garamond"/>
          <w:sz w:val="20"/>
          <w:szCs w:val="20"/>
        </w:rPr>
        <w:t>rting Materials” were excluded (</w:t>
      </w:r>
      <w:r w:rsidR="006F3522" w:rsidRPr="006F3522">
        <w:rPr>
          <w:rFonts w:cs="Garamond"/>
          <w:sz w:val="20"/>
          <w:szCs w:val="20"/>
        </w:rPr>
        <w:t>“Supporting Materials” had by far the l</w:t>
      </w:r>
      <w:r w:rsidR="002625DC">
        <w:rPr>
          <w:rFonts w:cs="Garamond"/>
          <w:sz w:val="20"/>
          <w:szCs w:val="20"/>
        </w:rPr>
        <w:t>owest juror agreement at 54%). While t</w:t>
      </w:r>
      <w:r w:rsidR="006F3522" w:rsidRPr="006F3522">
        <w:rPr>
          <w:rFonts w:cs="Garamond"/>
          <w:sz w:val="20"/>
          <w:szCs w:val="20"/>
        </w:rPr>
        <w:t xml:space="preserve">hese inter-rater reliability results are </w:t>
      </w:r>
      <w:r w:rsidR="00302510">
        <w:rPr>
          <w:rFonts w:cs="Garamond"/>
          <w:sz w:val="20"/>
          <w:szCs w:val="20"/>
        </w:rPr>
        <w:t xml:space="preserve">certainly </w:t>
      </w:r>
      <w:r w:rsidR="006F3522" w:rsidRPr="006F3522">
        <w:rPr>
          <w:rFonts w:cs="Garamond"/>
          <w:sz w:val="20"/>
          <w:szCs w:val="20"/>
        </w:rPr>
        <w:t>far from ideal</w:t>
      </w:r>
      <w:r w:rsidR="002625DC">
        <w:rPr>
          <w:rFonts w:cs="Garamond"/>
          <w:sz w:val="20"/>
          <w:szCs w:val="20"/>
        </w:rPr>
        <w:t xml:space="preserve">, </w:t>
      </w:r>
      <w:r w:rsidR="006F3522" w:rsidRPr="006F3522">
        <w:rPr>
          <w:rFonts w:cs="Garamond"/>
          <w:sz w:val="20"/>
          <w:szCs w:val="20"/>
        </w:rPr>
        <w:t xml:space="preserve">they </w:t>
      </w:r>
      <w:r w:rsidR="002625DC">
        <w:rPr>
          <w:rFonts w:cs="Garamond"/>
          <w:sz w:val="20"/>
          <w:szCs w:val="20"/>
        </w:rPr>
        <w:t xml:space="preserve">do </w:t>
      </w:r>
      <w:r w:rsidR="006F3522" w:rsidRPr="006F3522">
        <w:rPr>
          <w:rFonts w:cs="Garamond"/>
          <w:sz w:val="20"/>
          <w:szCs w:val="20"/>
        </w:rPr>
        <w:t xml:space="preserve">provide a clear starting point from which to improve. </w:t>
      </w:r>
    </w:p>
    <w:p w14:paraId="4F8512F1" w14:textId="77777777" w:rsidR="00CE5655" w:rsidRPr="00152437" w:rsidRDefault="00CE5655">
      <w:pPr>
        <w:rPr>
          <w:sz w:val="20"/>
          <w:szCs w:val="20"/>
        </w:rPr>
      </w:pPr>
    </w:p>
    <w:p w14:paraId="03016FA1" w14:textId="65DE7123" w:rsidR="00152437" w:rsidRPr="00152437" w:rsidRDefault="00152437" w:rsidP="00152437">
      <w:pPr>
        <w:widowControl w:val="0"/>
        <w:autoSpaceDE w:val="0"/>
        <w:autoSpaceDN w:val="0"/>
        <w:adjustRightInd w:val="0"/>
        <w:rPr>
          <w:rFonts w:cs="Garamond"/>
          <w:sz w:val="20"/>
          <w:szCs w:val="20"/>
        </w:rPr>
      </w:pPr>
      <w:r w:rsidRPr="00152437">
        <w:rPr>
          <w:rFonts w:cs="Garamond"/>
          <w:sz w:val="20"/>
          <w:szCs w:val="20"/>
        </w:rPr>
        <w:t xml:space="preserve">Already, a number of steps have been taken to increase student submission rates in </w:t>
      </w:r>
      <w:proofErr w:type="gramStart"/>
      <w:r w:rsidRPr="00152437">
        <w:rPr>
          <w:rFonts w:cs="Garamond"/>
          <w:sz w:val="20"/>
          <w:szCs w:val="20"/>
        </w:rPr>
        <w:t>Spring</w:t>
      </w:r>
      <w:proofErr w:type="gramEnd"/>
      <w:r w:rsidRPr="00152437">
        <w:rPr>
          <w:rFonts w:cs="Garamond"/>
          <w:sz w:val="20"/>
          <w:szCs w:val="20"/>
        </w:rPr>
        <w:t xml:space="preserve"> 2016. General Education faculty have been asked to require students to submit completed signature assignments for grading exclusively via Tk20, which will </w:t>
      </w:r>
      <w:r w:rsidR="00D11351">
        <w:rPr>
          <w:rFonts w:cs="Garamond"/>
          <w:sz w:val="20"/>
          <w:szCs w:val="20"/>
        </w:rPr>
        <w:t xml:space="preserve">therefore </w:t>
      </w:r>
      <w:r w:rsidRPr="00152437">
        <w:rPr>
          <w:rFonts w:cs="Garamond"/>
          <w:sz w:val="20"/>
          <w:szCs w:val="20"/>
        </w:rPr>
        <w:t xml:space="preserve">serve as the collection site for both instructors and the assessment team. Instructors </w:t>
      </w:r>
      <w:r w:rsidR="004128D5">
        <w:rPr>
          <w:rFonts w:cs="Garamond"/>
          <w:sz w:val="20"/>
          <w:szCs w:val="20"/>
        </w:rPr>
        <w:t xml:space="preserve">will </w:t>
      </w:r>
      <w:r w:rsidRPr="00152437">
        <w:rPr>
          <w:rFonts w:cs="Garamond"/>
          <w:sz w:val="20"/>
          <w:szCs w:val="20"/>
        </w:rPr>
        <w:t>download their students’ assignments directly from Tk20 for grading. In addition, the s</w:t>
      </w:r>
      <w:r w:rsidR="00A5154C">
        <w:rPr>
          <w:rFonts w:cs="Garamond"/>
          <w:sz w:val="20"/>
          <w:szCs w:val="20"/>
        </w:rPr>
        <w:t xml:space="preserve">ubmission form used in </w:t>
      </w:r>
      <w:proofErr w:type="gramStart"/>
      <w:r w:rsidR="00A5154C">
        <w:rPr>
          <w:rFonts w:cs="Garamond"/>
          <w:sz w:val="20"/>
          <w:szCs w:val="20"/>
        </w:rPr>
        <w:t>Fall</w:t>
      </w:r>
      <w:proofErr w:type="gramEnd"/>
      <w:r w:rsidR="00A5154C">
        <w:rPr>
          <w:rFonts w:cs="Garamond"/>
          <w:sz w:val="20"/>
          <w:szCs w:val="20"/>
        </w:rPr>
        <w:t xml:space="preserve"> 2015</w:t>
      </w:r>
      <w:r w:rsidRPr="00152437">
        <w:rPr>
          <w:rFonts w:cs="Garamond"/>
          <w:sz w:val="20"/>
          <w:szCs w:val="20"/>
        </w:rPr>
        <w:t xml:space="preserve"> </w:t>
      </w:r>
      <w:r w:rsidR="004128D5">
        <w:rPr>
          <w:rFonts w:cs="Garamond"/>
          <w:sz w:val="20"/>
          <w:szCs w:val="20"/>
        </w:rPr>
        <w:t xml:space="preserve">has been </w:t>
      </w:r>
      <w:r w:rsidRPr="00152437">
        <w:rPr>
          <w:rFonts w:cs="Garamond"/>
          <w:sz w:val="20"/>
          <w:szCs w:val="20"/>
        </w:rPr>
        <w:t>eliminated; students are now asked to include the assignment</w:t>
      </w:r>
      <w:r w:rsidR="006A5F06">
        <w:rPr>
          <w:rFonts w:cs="Garamond"/>
          <w:sz w:val="20"/>
          <w:szCs w:val="20"/>
        </w:rPr>
        <w:t xml:space="preserve"> question</w:t>
      </w:r>
      <w:r w:rsidRPr="00152437">
        <w:rPr>
          <w:rFonts w:cs="Garamond"/>
          <w:sz w:val="20"/>
          <w:szCs w:val="20"/>
        </w:rPr>
        <w:t xml:space="preserve">/prompt provided by their instructors at the beginning/top of their submission files. This approach simplifies the submission process and should </w:t>
      </w:r>
      <w:r w:rsidR="00873A16">
        <w:rPr>
          <w:rFonts w:cs="Garamond"/>
          <w:sz w:val="20"/>
          <w:szCs w:val="20"/>
        </w:rPr>
        <w:t xml:space="preserve">also </w:t>
      </w:r>
      <w:r w:rsidR="00256C2F">
        <w:rPr>
          <w:rFonts w:cs="Garamond"/>
          <w:sz w:val="20"/>
          <w:szCs w:val="20"/>
        </w:rPr>
        <w:t>improve submission rate</w:t>
      </w:r>
      <w:r w:rsidR="00C464AF">
        <w:rPr>
          <w:rFonts w:cs="Garamond"/>
          <w:sz w:val="20"/>
          <w:szCs w:val="20"/>
        </w:rPr>
        <w:t>s</w:t>
      </w:r>
      <w:r w:rsidRPr="00152437">
        <w:rPr>
          <w:rFonts w:cs="Garamond"/>
          <w:sz w:val="20"/>
          <w:szCs w:val="20"/>
        </w:rPr>
        <w:t xml:space="preserve">. </w:t>
      </w:r>
    </w:p>
    <w:p w14:paraId="692422FE" w14:textId="77777777" w:rsidR="00152437" w:rsidRPr="00152437" w:rsidRDefault="00152437" w:rsidP="00152437">
      <w:pPr>
        <w:widowControl w:val="0"/>
        <w:autoSpaceDE w:val="0"/>
        <w:autoSpaceDN w:val="0"/>
        <w:adjustRightInd w:val="0"/>
        <w:rPr>
          <w:rFonts w:cs="Garamond"/>
          <w:sz w:val="20"/>
          <w:szCs w:val="20"/>
        </w:rPr>
      </w:pPr>
    </w:p>
    <w:p w14:paraId="2B882228" w14:textId="32D64491" w:rsidR="00A02DDB" w:rsidRDefault="00152437" w:rsidP="00152437">
      <w:pPr>
        <w:widowControl w:val="0"/>
        <w:autoSpaceDE w:val="0"/>
        <w:autoSpaceDN w:val="0"/>
        <w:adjustRightInd w:val="0"/>
        <w:rPr>
          <w:rFonts w:cs="Garamond"/>
          <w:sz w:val="20"/>
          <w:szCs w:val="20"/>
        </w:rPr>
      </w:pPr>
      <w:r w:rsidRPr="00152437">
        <w:rPr>
          <w:rFonts w:cs="Garamond"/>
          <w:sz w:val="20"/>
          <w:szCs w:val="20"/>
        </w:rPr>
        <w:t xml:space="preserve">Student submission of signature assignments </w:t>
      </w:r>
      <w:r w:rsidR="00A02DDB">
        <w:rPr>
          <w:rFonts w:cs="Garamond"/>
          <w:sz w:val="20"/>
          <w:szCs w:val="20"/>
        </w:rPr>
        <w:t xml:space="preserve">is </w:t>
      </w:r>
      <w:r w:rsidR="00D13ED5">
        <w:rPr>
          <w:rFonts w:cs="Garamond"/>
          <w:sz w:val="20"/>
          <w:szCs w:val="20"/>
        </w:rPr>
        <w:t xml:space="preserve">also </w:t>
      </w:r>
      <w:r w:rsidR="00A02DDB">
        <w:rPr>
          <w:rFonts w:cs="Garamond"/>
          <w:sz w:val="20"/>
          <w:szCs w:val="20"/>
        </w:rPr>
        <w:t xml:space="preserve">being </w:t>
      </w:r>
      <w:r w:rsidRPr="00152437">
        <w:rPr>
          <w:rFonts w:cs="Garamond"/>
          <w:sz w:val="20"/>
          <w:szCs w:val="20"/>
        </w:rPr>
        <w:t xml:space="preserve">supported by a campaign to increase faculty and student awareness of the submission process. Training for General Education students and instructors </w:t>
      </w:r>
      <w:r w:rsidR="003E177C">
        <w:rPr>
          <w:rFonts w:cs="Garamond"/>
          <w:sz w:val="20"/>
          <w:szCs w:val="20"/>
        </w:rPr>
        <w:t xml:space="preserve">is being </w:t>
      </w:r>
      <w:r w:rsidRPr="00152437">
        <w:rPr>
          <w:rFonts w:cs="Garamond"/>
          <w:sz w:val="20"/>
          <w:szCs w:val="20"/>
        </w:rPr>
        <w:t xml:space="preserve">provided, and navigation guides for students, faculty, and assessment team members </w:t>
      </w:r>
      <w:r w:rsidR="00D13ED5">
        <w:rPr>
          <w:rFonts w:cs="Garamond"/>
          <w:sz w:val="20"/>
          <w:szCs w:val="20"/>
        </w:rPr>
        <w:t xml:space="preserve">are being </w:t>
      </w:r>
      <w:r w:rsidRPr="00152437">
        <w:rPr>
          <w:rFonts w:cs="Garamond"/>
          <w:sz w:val="20"/>
          <w:szCs w:val="20"/>
        </w:rPr>
        <w:t xml:space="preserve">made available </w:t>
      </w:r>
      <w:r w:rsidR="003E177C">
        <w:rPr>
          <w:rFonts w:cs="Garamond"/>
          <w:sz w:val="20"/>
          <w:szCs w:val="20"/>
        </w:rPr>
        <w:t xml:space="preserve">via email and </w:t>
      </w:r>
      <w:proofErr w:type="spellStart"/>
      <w:r w:rsidRPr="00152437">
        <w:rPr>
          <w:rFonts w:cs="Garamond"/>
          <w:sz w:val="20"/>
          <w:szCs w:val="20"/>
        </w:rPr>
        <w:t>GothicNet</w:t>
      </w:r>
      <w:proofErr w:type="spellEnd"/>
      <w:r w:rsidRPr="00152437">
        <w:rPr>
          <w:rFonts w:cs="Garamond"/>
          <w:sz w:val="20"/>
          <w:szCs w:val="20"/>
        </w:rPr>
        <w:t xml:space="preserve">. These and other resources </w:t>
      </w:r>
      <w:r w:rsidR="003E177C">
        <w:rPr>
          <w:rFonts w:cs="Garamond"/>
          <w:sz w:val="20"/>
          <w:szCs w:val="20"/>
        </w:rPr>
        <w:t xml:space="preserve">have also been </w:t>
      </w:r>
      <w:r w:rsidRPr="00152437">
        <w:rPr>
          <w:rFonts w:cs="Garamond"/>
          <w:sz w:val="20"/>
          <w:szCs w:val="20"/>
        </w:rPr>
        <w:t xml:space="preserve">posted on the General Education website: </w:t>
      </w:r>
      <w:hyperlink r:id="rId6" w:history="1">
        <w:r w:rsidRPr="00152437">
          <w:rPr>
            <w:rFonts w:cs="Garamond"/>
            <w:color w:val="386EFF"/>
            <w:sz w:val="20"/>
            <w:szCs w:val="20"/>
            <w:u w:val="single" w:color="386EFF"/>
          </w:rPr>
          <w:t>www.njcu.edu/gened</w:t>
        </w:r>
      </w:hyperlink>
      <w:r w:rsidRPr="00152437">
        <w:rPr>
          <w:rFonts w:cs="Garamond"/>
          <w:sz w:val="20"/>
          <w:szCs w:val="20"/>
        </w:rPr>
        <w:t xml:space="preserve">. In addition, during the end-of-semester submission period, students and faculty </w:t>
      </w:r>
      <w:r w:rsidR="000A72BF">
        <w:rPr>
          <w:rFonts w:cs="Garamond"/>
          <w:sz w:val="20"/>
          <w:szCs w:val="20"/>
        </w:rPr>
        <w:t xml:space="preserve">are </w:t>
      </w:r>
      <w:r w:rsidRPr="00152437">
        <w:rPr>
          <w:rFonts w:cs="Garamond"/>
          <w:sz w:val="20"/>
          <w:szCs w:val="20"/>
        </w:rPr>
        <w:t xml:space="preserve">invited to approximately 40 hours of computer lab drop-in sessions for assistance with video compression (for oral presentations) and signature assignment file uploading for all types of assignments. General Education instructors </w:t>
      </w:r>
      <w:r w:rsidR="000A72BF">
        <w:rPr>
          <w:rFonts w:cs="Garamond"/>
          <w:sz w:val="20"/>
          <w:szCs w:val="20"/>
        </w:rPr>
        <w:t xml:space="preserve">are </w:t>
      </w:r>
      <w:r w:rsidRPr="00152437">
        <w:rPr>
          <w:rFonts w:cs="Garamond"/>
          <w:sz w:val="20"/>
          <w:szCs w:val="20"/>
        </w:rPr>
        <w:t xml:space="preserve">invited to attend these sessions with their classes. </w:t>
      </w:r>
    </w:p>
    <w:p w14:paraId="45F286DF" w14:textId="77777777" w:rsidR="00A02DDB" w:rsidRDefault="00A02DDB" w:rsidP="00152437">
      <w:pPr>
        <w:widowControl w:val="0"/>
        <w:autoSpaceDE w:val="0"/>
        <w:autoSpaceDN w:val="0"/>
        <w:adjustRightInd w:val="0"/>
        <w:rPr>
          <w:rFonts w:cs="Garamond"/>
          <w:sz w:val="20"/>
          <w:szCs w:val="20"/>
        </w:rPr>
      </w:pPr>
    </w:p>
    <w:p w14:paraId="288DD3FA" w14:textId="442258DF" w:rsidR="00152437" w:rsidRPr="00152437" w:rsidRDefault="00152437" w:rsidP="00152437">
      <w:pPr>
        <w:widowControl w:val="0"/>
        <w:autoSpaceDE w:val="0"/>
        <w:autoSpaceDN w:val="0"/>
        <w:adjustRightInd w:val="0"/>
        <w:rPr>
          <w:rFonts w:cs="Garamond"/>
          <w:sz w:val="20"/>
          <w:szCs w:val="20"/>
        </w:rPr>
      </w:pPr>
      <w:r w:rsidRPr="00152437">
        <w:rPr>
          <w:rFonts w:cs="Garamond"/>
          <w:sz w:val="20"/>
          <w:szCs w:val="20"/>
        </w:rPr>
        <w:t xml:space="preserve">Increasing the student submission rate could have a significant impact on future assessment results. While we do not know whether an improved submission rate will </w:t>
      </w:r>
      <w:r w:rsidR="00046299">
        <w:rPr>
          <w:rFonts w:cs="Garamond"/>
          <w:sz w:val="20"/>
          <w:szCs w:val="20"/>
        </w:rPr>
        <w:t xml:space="preserve">raise or lower </w:t>
      </w:r>
      <w:r w:rsidRPr="00152437">
        <w:rPr>
          <w:rFonts w:cs="Garamond"/>
          <w:sz w:val="20"/>
          <w:szCs w:val="20"/>
        </w:rPr>
        <w:t>student achievement rates, we do know that a better response rate will improve the quality of</w:t>
      </w:r>
      <w:r w:rsidR="00C823F6">
        <w:rPr>
          <w:rFonts w:cs="Garamond"/>
          <w:sz w:val="20"/>
          <w:szCs w:val="20"/>
        </w:rPr>
        <w:t xml:space="preserve"> the</w:t>
      </w:r>
      <w:r w:rsidRPr="00152437">
        <w:rPr>
          <w:rFonts w:cs="Garamond"/>
          <w:sz w:val="20"/>
          <w:szCs w:val="20"/>
        </w:rPr>
        <w:t xml:space="preserve"> assessment data. This is an important goal as better data will provide better information on which to base future curricular and pedagogical improvements.</w:t>
      </w:r>
    </w:p>
    <w:p w14:paraId="6409E53A" w14:textId="77777777" w:rsidR="00152437" w:rsidRPr="00152437" w:rsidRDefault="00152437" w:rsidP="00152437">
      <w:pPr>
        <w:widowControl w:val="0"/>
        <w:autoSpaceDE w:val="0"/>
        <w:autoSpaceDN w:val="0"/>
        <w:adjustRightInd w:val="0"/>
        <w:rPr>
          <w:rFonts w:cs="Garamond"/>
          <w:sz w:val="20"/>
          <w:szCs w:val="20"/>
        </w:rPr>
      </w:pPr>
    </w:p>
    <w:p w14:paraId="6AABBFE1" w14:textId="7DDD1023" w:rsidR="00152437" w:rsidRPr="00152437" w:rsidRDefault="00152437" w:rsidP="00152437">
      <w:pPr>
        <w:widowControl w:val="0"/>
        <w:autoSpaceDE w:val="0"/>
        <w:autoSpaceDN w:val="0"/>
        <w:adjustRightInd w:val="0"/>
        <w:rPr>
          <w:rFonts w:cs="Garamond"/>
          <w:sz w:val="20"/>
          <w:szCs w:val="20"/>
        </w:rPr>
      </w:pPr>
      <w:r w:rsidRPr="00152437">
        <w:rPr>
          <w:rFonts w:cs="Garamond"/>
          <w:sz w:val="20"/>
          <w:szCs w:val="20"/>
        </w:rPr>
        <w:t xml:space="preserve">Addressing the response rate and improving assignment design are </w:t>
      </w:r>
      <w:r w:rsidR="00053137">
        <w:rPr>
          <w:rFonts w:cs="Garamond"/>
          <w:sz w:val="20"/>
          <w:szCs w:val="20"/>
        </w:rPr>
        <w:t xml:space="preserve">two </w:t>
      </w:r>
      <w:r w:rsidR="00CC6302">
        <w:rPr>
          <w:rFonts w:cs="Garamond"/>
          <w:sz w:val="20"/>
          <w:szCs w:val="20"/>
        </w:rPr>
        <w:t xml:space="preserve">essential </w:t>
      </w:r>
      <w:r w:rsidRPr="00152437">
        <w:rPr>
          <w:rFonts w:cs="Garamond"/>
          <w:sz w:val="20"/>
          <w:szCs w:val="20"/>
        </w:rPr>
        <w:t xml:space="preserve">steps indicated by these results; as the University community has an opportunity to reflect on them, we hope to </w:t>
      </w:r>
      <w:r w:rsidR="005361FC">
        <w:rPr>
          <w:rFonts w:cs="Garamond"/>
          <w:sz w:val="20"/>
          <w:szCs w:val="20"/>
        </w:rPr>
        <w:t xml:space="preserve">help initiate </w:t>
      </w:r>
      <w:r w:rsidRPr="00152437">
        <w:rPr>
          <w:rFonts w:cs="Garamond"/>
          <w:sz w:val="20"/>
          <w:szCs w:val="20"/>
        </w:rPr>
        <w:t xml:space="preserve">a wider conversation about student </w:t>
      </w:r>
      <w:r w:rsidR="005361FC">
        <w:rPr>
          <w:rFonts w:cs="Garamond"/>
          <w:sz w:val="20"/>
          <w:szCs w:val="20"/>
        </w:rPr>
        <w:t xml:space="preserve">learning </w:t>
      </w:r>
      <w:r w:rsidRPr="00152437">
        <w:rPr>
          <w:rFonts w:cs="Garamond"/>
          <w:sz w:val="20"/>
          <w:szCs w:val="20"/>
        </w:rPr>
        <w:t xml:space="preserve">at NJCU. Our immediate focus will be to consider what additional activities and adjustments are called for in response to these results. As mentioned above, </w:t>
      </w:r>
      <w:r w:rsidR="00E454E4">
        <w:rPr>
          <w:rFonts w:cs="Garamond"/>
          <w:sz w:val="20"/>
          <w:szCs w:val="20"/>
        </w:rPr>
        <w:t>an action</w:t>
      </w:r>
      <w:r w:rsidRPr="00152437">
        <w:rPr>
          <w:rFonts w:cs="Garamond"/>
          <w:sz w:val="20"/>
          <w:szCs w:val="20"/>
        </w:rPr>
        <w:t xml:space="preserve"> plan will be developed to improve submission </w:t>
      </w:r>
      <w:r w:rsidR="008A7F17">
        <w:rPr>
          <w:rFonts w:cs="Garamond"/>
          <w:sz w:val="20"/>
          <w:szCs w:val="20"/>
        </w:rPr>
        <w:t xml:space="preserve">and </w:t>
      </w:r>
      <w:r w:rsidRPr="00152437">
        <w:rPr>
          <w:rFonts w:cs="Garamond"/>
          <w:sz w:val="20"/>
          <w:szCs w:val="20"/>
        </w:rPr>
        <w:t>inter-rater reliability</w:t>
      </w:r>
      <w:r w:rsidR="008A7F17">
        <w:rPr>
          <w:rFonts w:cs="Garamond"/>
          <w:sz w:val="20"/>
          <w:szCs w:val="20"/>
        </w:rPr>
        <w:t xml:space="preserve"> rates</w:t>
      </w:r>
      <w:r w:rsidRPr="00152437">
        <w:rPr>
          <w:rFonts w:cs="Garamond"/>
          <w:sz w:val="20"/>
          <w:szCs w:val="20"/>
        </w:rPr>
        <w:t xml:space="preserve">, and </w:t>
      </w:r>
      <w:r w:rsidR="00053137">
        <w:rPr>
          <w:rFonts w:cs="Garamond"/>
          <w:sz w:val="20"/>
          <w:szCs w:val="20"/>
        </w:rPr>
        <w:t xml:space="preserve">especially </w:t>
      </w:r>
      <w:r w:rsidRPr="00152437">
        <w:rPr>
          <w:rFonts w:cs="Garamond"/>
          <w:sz w:val="20"/>
          <w:szCs w:val="20"/>
        </w:rPr>
        <w:t xml:space="preserve">to improve student achievement of the learning </w:t>
      </w:r>
      <w:r w:rsidRPr="00152437">
        <w:rPr>
          <w:rFonts w:cs="Garamond"/>
          <w:sz w:val="20"/>
          <w:szCs w:val="20"/>
        </w:rPr>
        <w:lastRenderedPageBreak/>
        <w:t>outcomes. The latter will likely involve the planning of programs to address pedagogical practices and support faculty and students to meet tea</w:t>
      </w:r>
      <w:r w:rsidR="00B13EFB">
        <w:rPr>
          <w:rFonts w:cs="Garamond"/>
          <w:sz w:val="20"/>
          <w:szCs w:val="20"/>
        </w:rPr>
        <w:t>ching and learning challenges. A few of the many p</w:t>
      </w:r>
      <w:r w:rsidRPr="00152437">
        <w:rPr>
          <w:rFonts w:cs="Garamond"/>
          <w:sz w:val="20"/>
          <w:szCs w:val="20"/>
        </w:rPr>
        <w:t xml:space="preserve">ossibilities include targeted faculty development workshops, organized around specific outcomes </w:t>
      </w:r>
      <w:r w:rsidR="00DE0753">
        <w:rPr>
          <w:rFonts w:cs="Garamond"/>
          <w:sz w:val="20"/>
          <w:szCs w:val="20"/>
        </w:rPr>
        <w:t>(</w:t>
      </w:r>
      <w:r w:rsidRPr="00152437">
        <w:rPr>
          <w:rFonts w:cs="Garamond"/>
          <w:sz w:val="20"/>
          <w:szCs w:val="20"/>
        </w:rPr>
        <w:t>dimensions</w:t>
      </w:r>
      <w:r w:rsidR="00DE0753">
        <w:rPr>
          <w:rFonts w:cs="Garamond"/>
          <w:sz w:val="20"/>
          <w:szCs w:val="20"/>
        </w:rPr>
        <w:t xml:space="preserve"> of the learning goals)</w:t>
      </w:r>
      <w:r w:rsidRPr="00152437">
        <w:rPr>
          <w:rFonts w:cs="Garamond"/>
          <w:sz w:val="20"/>
          <w:szCs w:val="20"/>
        </w:rPr>
        <w:t>, and the development of student support strategies</w:t>
      </w:r>
      <w:r w:rsidR="00DE0753">
        <w:rPr>
          <w:rFonts w:cs="Garamond"/>
          <w:sz w:val="20"/>
          <w:szCs w:val="20"/>
        </w:rPr>
        <w:t>—</w:t>
      </w:r>
      <w:r w:rsidRPr="00152437">
        <w:rPr>
          <w:rFonts w:cs="Garamond"/>
          <w:sz w:val="20"/>
          <w:szCs w:val="20"/>
        </w:rPr>
        <w:t>within and outside the classroom</w:t>
      </w:r>
      <w:r w:rsidR="00DE0753">
        <w:rPr>
          <w:rFonts w:cs="Garamond"/>
          <w:sz w:val="20"/>
          <w:szCs w:val="20"/>
        </w:rPr>
        <w:t>—</w:t>
      </w:r>
      <w:r w:rsidRPr="00152437">
        <w:rPr>
          <w:rFonts w:cs="Garamond"/>
          <w:sz w:val="20"/>
          <w:szCs w:val="20"/>
        </w:rPr>
        <w:t xml:space="preserve">explicitly designed to address areas of weakness identified </w:t>
      </w:r>
      <w:r w:rsidR="00DE0753">
        <w:rPr>
          <w:rFonts w:cs="Garamond"/>
          <w:sz w:val="20"/>
          <w:szCs w:val="20"/>
        </w:rPr>
        <w:t xml:space="preserve">in </w:t>
      </w:r>
      <w:r w:rsidRPr="00152437">
        <w:rPr>
          <w:rFonts w:cs="Garamond"/>
          <w:sz w:val="20"/>
          <w:szCs w:val="20"/>
        </w:rPr>
        <w:t>the</w:t>
      </w:r>
      <w:r w:rsidR="00DE0753">
        <w:rPr>
          <w:rFonts w:cs="Garamond"/>
          <w:sz w:val="20"/>
          <w:szCs w:val="20"/>
        </w:rPr>
        <w:t>se</w:t>
      </w:r>
      <w:r w:rsidRPr="00152437">
        <w:rPr>
          <w:rFonts w:cs="Garamond"/>
          <w:sz w:val="20"/>
          <w:szCs w:val="20"/>
        </w:rPr>
        <w:t xml:space="preserve"> results. In addition, we will work to ensure that future assessment activities are developed to track progress on the highest priority areas of concern. Among decisions to be made will be which learning goals to assess in </w:t>
      </w:r>
      <w:proofErr w:type="gramStart"/>
      <w:r w:rsidRPr="00152437">
        <w:rPr>
          <w:rFonts w:cs="Garamond"/>
          <w:sz w:val="20"/>
          <w:szCs w:val="20"/>
        </w:rPr>
        <w:t>Fall</w:t>
      </w:r>
      <w:proofErr w:type="gramEnd"/>
      <w:r w:rsidRPr="00152437">
        <w:rPr>
          <w:rFonts w:cs="Garamond"/>
          <w:sz w:val="20"/>
          <w:szCs w:val="20"/>
        </w:rPr>
        <w:t xml:space="preserve"> 2016 and Spring of 2017. The feasibility of signature assignment collection and review for the </w:t>
      </w:r>
      <w:proofErr w:type="gramStart"/>
      <w:r w:rsidRPr="00152437">
        <w:rPr>
          <w:rFonts w:cs="Garamond"/>
          <w:sz w:val="20"/>
          <w:szCs w:val="20"/>
        </w:rPr>
        <w:t>Summer</w:t>
      </w:r>
      <w:proofErr w:type="gramEnd"/>
      <w:r w:rsidRPr="00152437">
        <w:rPr>
          <w:rFonts w:cs="Garamond"/>
          <w:sz w:val="20"/>
          <w:szCs w:val="20"/>
        </w:rPr>
        <w:t xml:space="preserve"> sessions also remains to be determined. </w:t>
      </w:r>
    </w:p>
    <w:p w14:paraId="59ED0476" w14:textId="77777777" w:rsidR="00152437" w:rsidRPr="00152437" w:rsidRDefault="00152437" w:rsidP="00152437">
      <w:pPr>
        <w:widowControl w:val="0"/>
        <w:autoSpaceDE w:val="0"/>
        <w:autoSpaceDN w:val="0"/>
        <w:adjustRightInd w:val="0"/>
        <w:rPr>
          <w:rFonts w:cs="Garamond"/>
          <w:sz w:val="20"/>
          <w:szCs w:val="20"/>
        </w:rPr>
      </w:pPr>
    </w:p>
    <w:p w14:paraId="082AC478" w14:textId="46660928" w:rsidR="005F512C" w:rsidRDefault="00152437" w:rsidP="00152437">
      <w:pPr>
        <w:widowControl w:val="0"/>
        <w:autoSpaceDE w:val="0"/>
        <w:autoSpaceDN w:val="0"/>
        <w:adjustRightInd w:val="0"/>
        <w:rPr>
          <w:rFonts w:cs="Garamond"/>
          <w:sz w:val="20"/>
          <w:szCs w:val="20"/>
        </w:rPr>
      </w:pPr>
      <w:r w:rsidRPr="00152437">
        <w:rPr>
          <w:rFonts w:cs="Garamond"/>
          <w:sz w:val="20"/>
          <w:szCs w:val="20"/>
        </w:rPr>
        <w:t>These assessment results</w:t>
      </w:r>
      <w:r w:rsidR="000E349A">
        <w:rPr>
          <w:rFonts w:cs="Garamond"/>
          <w:sz w:val="20"/>
          <w:szCs w:val="20"/>
        </w:rPr>
        <w:t>,</w:t>
      </w:r>
      <w:r w:rsidRPr="00152437">
        <w:rPr>
          <w:rFonts w:cs="Garamond"/>
          <w:sz w:val="20"/>
          <w:szCs w:val="20"/>
        </w:rPr>
        <w:t xml:space="preserve"> </w:t>
      </w:r>
      <w:r w:rsidR="000E349A">
        <w:rPr>
          <w:rFonts w:cs="Garamond"/>
          <w:sz w:val="20"/>
          <w:szCs w:val="20"/>
        </w:rPr>
        <w:t xml:space="preserve">as well as </w:t>
      </w:r>
      <w:r w:rsidRPr="00152437">
        <w:rPr>
          <w:rFonts w:cs="Garamond"/>
          <w:sz w:val="20"/>
          <w:szCs w:val="20"/>
        </w:rPr>
        <w:t xml:space="preserve">qualitative feedback </w:t>
      </w:r>
      <w:r w:rsidR="000E349A">
        <w:rPr>
          <w:rFonts w:cs="Garamond"/>
          <w:sz w:val="20"/>
          <w:szCs w:val="20"/>
        </w:rPr>
        <w:t xml:space="preserve">collected from a number of constituencies, </w:t>
      </w:r>
      <w:r w:rsidRPr="00152437">
        <w:rPr>
          <w:rFonts w:cs="Garamond"/>
          <w:sz w:val="20"/>
          <w:szCs w:val="20"/>
        </w:rPr>
        <w:t>have already begun to inform plans for faculty development. Submitted signature assignment prompts</w:t>
      </w:r>
      <w:r w:rsidR="00AB36B7">
        <w:rPr>
          <w:rFonts w:cs="Garamond"/>
          <w:sz w:val="20"/>
          <w:szCs w:val="20"/>
        </w:rPr>
        <w:t>,</w:t>
      </w:r>
      <w:r w:rsidRPr="00152437">
        <w:rPr>
          <w:rFonts w:cs="Garamond"/>
          <w:sz w:val="20"/>
          <w:szCs w:val="20"/>
        </w:rPr>
        <w:t xml:space="preserve"> and the high percentage of NAs</w:t>
      </w:r>
      <w:r w:rsidR="00043CDB">
        <w:rPr>
          <w:rFonts w:cs="Garamond"/>
          <w:sz w:val="20"/>
          <w:szCs w:val="20"/>
        </w:rPr>
        <w:t xml:space="preserve"> </w:t>
      </w:r>
      <w:r w:rsidR="00AB36B7">
        <w:rPr>
          <w:rFonts w:cs="Garamond"/>
          <w:sz w:val="20"/>
          <w:szCs w:val="20"/>
        </w:rPr>
        <w:t xml:space="preserve">(not applicable) assigned </w:t>
      </w:r>
      <w:r w:rsidR="00043CDB">
        <w:rPr>
          <w:rFonts w:cs="Garamond"/>
          <w:sz w:val="20"/>
          <w:szCs w:val="20"/>
        </w:rPr>
        <w:t>among the dimensions/outcomes</w:t>
      </w:r>
      <w:r w:rsidR="00A046E9">
        <w:rPr>
          <w:rFonts w:cs="Garamond"/>
          <w:sz w:val="20"/>
          <w:szCs w:val="20"/>
        </w:rPr>
        <w:t xml:space="preserve"> (indicating that </w:t>
      </w:r>
      <w:r w:rsidR="00AE1B6B">
        <w:rPr>
          <w:rFonts w:cs="Garamond"/>
          <w:sz w:val="20"/>
          <w:szCs w:val="20"/>
        </w:rPr>
        <w:t xml:space="preserve">an </w:t>
      </w:r>
      <w:r w:rsidR="007D7987">
        <w:rPr>
          <w:rFonts w:cs="Garamond"/>
          <w:sz w:val="20"/>
          <w:szCs w:val="20"/>
        </w:rPr>
        <w:t>assignment question/</w:t>
      </w:r>
      <w:r w:rsidR="00A046E9">
        <w:rPr>
          <w:rFonts w:cs="Garamond"/>
          <w:sz w:val="20"/>
          <w:szCs w:val="20"/>
        </w:rPr>
        <w:t xml:space="preserve">prompt did not require demonstration of a given </w:t>
      </w:r>
      <w:r w:rsidR="007E3F70">
        <w:rPr>
          <w:rFonts w:cs="Garamond"/>
          <w:sz w:val="20"/>
          <w:szCs w:val="20"/>
        </w:rPr>
        <w:t>dimension/</w:t>
      </w:r>
      <w:r w:rsidR="00A046E9">
        <w:rPr>
          <w:rFonts w:cs="Garamond"/>
          <w:sz w:val="20"/>
          <w:szCs w:val="20"/>
        </w:rPr>
        <w:t>outcome)</w:t>
      </w:r>
      <w:r w:rsidRPr="00152437">
        <w:rPr>
          <w:rFonts w:cs="Garamond"/>
          <w:sz w:val="20"/>
          <w:szCs w:val="20"/>
        </w:rPr>
        <w:t>, in addition to comments from instructors</w:t>
      </w:r>
      <w:r w:rsidR="00AB36B7">
        <w:rPr>
          <w:rFonts w:cs="Garamond"/>
          <w:sz w:val="20"/>
          <w:szCs w:val="20"/>
        </w:rPr>
        <w:t xml:space="preserve">, </w:t>
      </w:r>
      <w:r w:rsidRPr="00152437">
        <w:rPr>
          <w:rFonts w:cs="Garamond"/>
          <w:sz w:val="20"/>
          <w:szCs w:val="20"/>
        </w:rPr>
        <w:t>assessment team members</w:t>
      </w:r>
      <w:r w:rsidR="00AB36B7">
        <w:rPr>
          <w:rFonts w:cs="Garamond"/>
          <w:sz w:val="20"/>
          <w:szCs w:val="20"/>
        </w:rPr>
        <w:t xml:space="preserve">, and </w:t>
      </w:r>
      <w:r w:rsidRPr="00152437">
        <w:rPr>
          <w:rFonts w:cs="Garamond"/>
          <w:sz w:val="20"/>
          <w:szCs w:val="20"/>
        </w:rPr>
        <w:t xml:space="preserve">the members of </w:t>
      </w:r>
      <w:r w:rsidR="008A6DF8">
        <w:rPr>
          <w:rFonts w:cs="Garamond"/>
          <w:sz w:val="20"/>
          <w:szCs w:val="20"/>
        </w:rPr>
        <w:t xml:space="preserve">GEEC and </w:t>
      </w:r>
      <w:r w:rsidRPr="00152437">
        <w:rPr>
          <w:rFonts w:cs="Garamond"/>
          <w:sz w:val="20"/>
          <w:szCs w:val="20"/>
        </w:rPr>
        <w:t xml:space="preserve">GECAP, </w:t>
      </w:r>
      <w:r w:rsidR="005F512C">
        <w:rPr>
          <w:rFonts w:cs="Garamond"/>
          <w:sz w:val="20"/>
          <w:szCs w:val="20"/>
        </w:rPr>
        <w:t xml:space="preserve">who </w:t>
      </w:r>
      <w:r w:rsidRPr="00152437">
        <w:rPr>
          <w:rFonts w:cs="Garamond"/>
          <w:sz w:val="20"/>
          <w:szCs w:val="20"/>
        </w:rPr>
        <w:t>reviewed signature assignments submitted by instructo</w:t>
      </w:r>
      <w:r w:rsidR="00AB36B7">
        <w:rPr>
          <w:rFonts w:cs="Garamond"/>
          <w:sz w:val="20"/>
          <w:szCs w:val="20"/>
        </w:rPr>
        <w:t xml:space="preserve">rs in </w:t>
      </w:r>
      <w:r w:rsidR="008A6DF8">
        <w:rPr>
          <w:rFonts w:cs="Garamond"/>
          <w:sz w:val="20"/>
          <w:szCs w:val="20"/>
        </w:rPr>
        <w:t xml:space="preserve">Fall 2015 and </w:t>
      </w:r>
      <w:r w:rsidR="00AB36B7">
        <w:rPr>
          <w:rFonts w:cs="Garamond"/>
          <w:sz w:val="20"/>
          <w:szCs w:val="20"/>
        </w:rPr>
        <w:t xml:space="preserve">Spring 2016, </w:t>
      </w:r>
      <w:r w:rsidR="008A6DF8">
        <w:rPr>
          <w:rFonts w:cs="Garamond"/>
          <w:sz w:val="20"/>
          <w:szCs w:val="20"/>
        </w:rPr>
        <w:t xml:space="preserve">respectively, </w:t>
      </w:r>
      <w:r w:rsidR="00AB36B7">
        <w:rPr>
          <w:rFonts w:cs="Garamond"/>
          <w:sz w:val="20"/>
          <w:szCs w:val="20"/>
        </w:rPr>
        <w:t xml:space="preserve">have </w:t>
      </w:r>
      <w:r w:rsidRPr="00152437">
        <w:rPr>
          <w:rFonts w:cs="Garamond"/>
          <w:sz w:val="20"/>
          <w:szCs w:val="20"/>
        </w:rPr>
        <w:t xml:space="preserve">revealed a pressing need for faculty development in the area of assignment design, which we know can be an important factor contributing to student success. </w:t>
      </w:r>
    </w:p>
    <w:p w14:paraId="3B1AFF5A" w14:textId="77777777" w:rsidR="005F512C" w:rsidRDefault="005F512C" w:rsidP="00152437">
      <w:pPr>
        <w:widowControl w:val="0"/>
        <w:autoSpaceDE w:val="0"/>
        <w:autoSpaceDN w:val="0"/>
        <w:adjustRightInd w:val="0"/>
        <w:rPr>
          <w:rFonts w:cs="Garamond"/>
          <w:sz w:val="20"/>
          <w:szCs w:val="20"/>
        </w:rPr>
      </w:pPr>
    </w:p>
    <w:p w14:paraId="74D10804" w14:textId="32A46F08" w:rsidR="00152437" w:rsidRPr="00152437" w:rsidRDefault="00AB36B7" w:rsidP="00152437">
      <w:pPr>
        <w:widowControl w:val="0"/>
        <w:autoSpaceDE w:val="0"/>
        <w:autoSpaceDN w:val="0"/>
        <w:adjustRightInd w:val="0"/>
        <w:rPr>
          <w:rFonts w:cs="Garamond"/>
          <w:sz w:val="20"/>
          <w:szCs w:val="20"/>
        </w:rPr>
      </w:pPr>
      <w:r w:rsidRPr="00152437">
        <w:rPr>
          <w:rFonts w:cs="Garamond"/>
          <w:sz w:val="20"/>
          <w:szCs w:val="20"/>
        </w:rPr>
        <w:t xml:space="preserve">The GECAP will continue its periodic review of signature assignments and provide </w:t>
      </w:r>
      <w:r w:rsidR="0007042F">
        <w:rPr>
          <w:rFonts w:cs="Garamond"/>
          <w:sz w:val="20"/>
          <w:szCs w:val="20"/>
        </w:rPr>
        <w:t xml:space="preserve">instructors with </w:t>
      </w:r>
      <w:r w:rsidRPr="00152437">
        <w:rPr>
          <w:rFonts w:cs="Garamond"/>
          <w:sz w:val="20"/>
          <w:szCs w:val="20"/>
        </w:rPr>
        <w:t xml:space="preserve">feedback to help ensure that signature assignments may be scored by the appropriate rubrics. </w:t>
      </w:r>
      <w:r w:rsidR="00152437" w:rsidRPr="00152437">
        <w:rPr>
          <w:rFonts w:cs="Garamond"/>
          <w:sz w:val="20"/>
          <w:szCs w:val="20"/>
        </w:rPr>
        <w:t>In addition, we have planned a faculty development workshop focused on a powerful research-based approach to assignment design</w:t>
      </w:r>
      <w:r w:rsidR="00D47A5D">
        <w:rPr>
          <w:rFonts w:cs="Garamond"/>
          <w:sz w:val="20"/>
          <w:szCs w:val="20"/>
        </w:rPr>
        <w:t xml:space="preserve"> </w:t>
      </w:r>
      <w:r w:rsidR="00152437" w:rsidRPr="00152437">
        <w:rPr>
          <w:rFonts w:cs="Garamond"/>
          <w:sz w:val="20"/>
          <w:szCs w:val="20"/>
        </w:rPr>
        <w:t xml:space="preserve">that demonstrably improves student success. Presented by </w:t>
      </w:r>
      <w:r w:rsidR="00C948C9">
        <w:rPr>
          <w:rFonts w:cs="Garamond"/>
          <w:sz w:val="20"/>
          <w:szCs w:val="20"/>
        </w:rPr>
        <w:t xml:space="preserve">Dr. </w:t>
      </w:r>
      <w:r w:rsidR="00152437" w:rsidRPr="00152437">
        <w:rPr>
          <w:rFonts w:cs="Garamond"/>
          <w:sz w:val="20"/>
          <w:szCs w:val="20"/>
        </w:rPr>
        <w:t xml:space="preserve">Mary-Ann Winkelmes of the University of Nevada, Las Vegas, the workshop </w:t>
      </w:r>
      <w:r w:rsidR="00D47A5D">
        <w:rPr>
          <w:rFonts w:cs="Garamond"/>
          <w:sz w:val="20"/>
          <w:szCs w:val="20"/>
        </w:rPr>
        <w:t>on “Transparent Assignment Design”</w:t>
      </w:r>
      <w:r w:rsidR="00D47A5D" w:rsidRPr="00152437">
        <w:rPr>
          <w:rFonts w:cs="Garamond"/>
          <w:sz w:val="20"/>
          <w:szCs w:val="20"/>
        </w:rPr>
        <w:t xml:space="preserve"> </w:t>
      </w:r>
      <w:r w:rsidR="00152437" w:rsidRPr="00152437">
        <w:rPr>
          <w:rFonts w:cs="Garamond"/>
          <w:sz w:val="20"/>
          <w:szCs w:val="20"/>
        </w:rPr>
        <w:t xml:space="preserve">will take place on April 29 from 1-2:30 in GSU 129. </w:t>
      </w:r>
      <w:r w:rsidR="00D47A5D">
        <w:rPr>
          <w:rFonts w:cs="Garamond"/>
          <w:sz w:val="20"/>
          <w:szCs w:val="20"/>
        </w:rPr>
        <w:t>T</w:t>
      </w:r>
      <w:r w:rsidR="00152437" w:rsidRPr="00152437">
        <w:rPr>
          <w:rFonts w:cs="Garamond"/>
          <w:sz w:val="20"/>
          <w:szCs w:val="20"/>
        </w:rPr>
        <w:t>ransparent assignment design</w:t>
      </w:r>
      <w:r w:rsidR="00D47A5D">
        <w:rPr>
          <w:rFonts w:cs="Garamond"/>
          <w:sz w:val="20"/>
          <w:szCs w:val="20"/>
        </w:rPr>
        <w:t xml:space="preserve"> </w:t>
      </w:r>
      <w:r w:rsidR="00152437" w:rsidRPr="00152437">
        <w:rPr>
          <w:rFonts w:cs="Garamond"/>
          <w:sz w:val="20"/>
          <w:szCs w:val="20"/>
        </w:rPr>
        <w:t xml:space="preserve">has been shown to have a significant impact on student achievement, especially for underserved and first-generation students. Participation via Webcast will be available so </w:t>
      </w:r>
      <w:r w:rsidR="00C948C9">
        <w:rPr>
          <w:rFonts w:cs="Garamond"/>
          <w:sz w:val="20"/>
          <w:szCs w:val="20"/>
        </w:rPr>
        <w:t xml:space="preserve">that </w:t>
      </w:r>
      <w:r w:rsidR="00152437" w:rsidRPr="00152437">
        <w:rPr>
          <w:rFonts w:cs="Garamond"/>
          <w:sz w:val="20"/>
          <w:szCs w:val="20"/>
        </w:rPr>
        <w:t>physical presence on campus is not required</w:t>
      </w:r>
      <w:r w:rsidR="00096ACD">
        <w:rPr>
          <w:rFonts w:cs="Garamond"/>
          <w:sz w:val="20"/>
          <w:szCs w:val="20"/>
        </w:rPr>
        <w:t xml:space="preserve">. In addition, </w:t>
      </w:r>
      <w:r w:rsidR="00152437" w:rsidRPr="00152437">
        <w:rPr>
          <w:rFonts w:cs="Garamond"/>
          <w:sz w:val="20"/>
          <w:szCs w:val="20"/>
        </w:rPr>
        <w:t>a recording of the workshop will be made available to faculty members who are unable to attend.</w:t>
      </w:r>
      <w:r w:rsidR="00335684">
        <w:rPr>
          <w:rFonts w:cs="Garamond"/>
          <w:sz w:val="20"/>
          <w:szCs w:val="20"/>
        </w:rPr>
        <w:t xml:space="preserve"> </w:t>
      </w:r>
      <w:r w:rsidR="00C948C9">
        <w:rPr>
          <w:rFonts w:cs="Garamond"/>
          <w:sz w:val="20"/>
          <w:szCs w:val="20"/>
        </w:rPr>
        <w:t>All faculty are welcome; General Education faculty are especially encouraged to attend.</w:t>
      </w:r>
    </w:p>
    <w:p w14:paraId="122D89E7" w14:textId="77777777" w:rsidR="00152437" w:rsidRPr="00152437" w:rsidRDefault="00152437" w:rsidP="00152437">
      <w:pPr>
        <w:widowControl w:val="0"/>
        <w:autoSpaceDE w:val="0"/>
        <w:autoSpaceDN w:val="0"/>
        <w:adjustRightInd w:val="0"/>
        <w:rPr>
          <w:rFonts w:cs="Garamond"/>
          <w:sz w:val="20"/>
          <w:szCs w:val="20"/>
        </w:rPr>
      </w:pPr>
    </w:p>
    <w:p w14:paraId="65618BD0" w14:textId="53F44E9E" w:rsidR="00EE0440" w:rsidRDefault="002350AA" w:rsidP="00152437">
      <w:pPr>
        <w:widowControl w:val="0"/>
        <w:autoSpaceDE w:val="0"/>
        <w:autoSpaceDN w:val="0"/>
        <w:adjustRightInd w:val="0"/>
        <w:rPr>
          <w:rFonts w:cs="Garamond"/>
          <w:sz w:val="20"/>
          <w:szCs w:val="20"/>
        </w:rPr>
      </w:pPr>
      <w:r>
        <w:rPr>
          <w:sz w:val="20"/>
          <w:szCs w:val="20"/>
        </w:rPr>
        <w:t>A</w:t>
      </w:r>
      <w:r w:rsidR="00905865">
        <w:rPr>
          <w:sz w:val="20"/>
          <w:szCs w:val="20"/>
        </w:rPr>
        <w:t>s stated above, a</w:t>
      </w:r>
      <w:r>
        <w:rPr>
          <w:sz w:val="20"/>
          <w:szCs w:val="20"/>
        </w:rPr>
        <w:t xml:space="preserve">n action plan </w:t>
      </w:r>
      <w:r>
        <w:rPr>
          <w:sz w:val="20"/>
          <w:szCs w:val="20"/>
        </w:rPr>
        <w:t xml:space="preserve">will be developed </w:t>
      </w:r>
      <w:r w:rsidRPr="00150B9C">
        <w:rPr>
          <w:sz w:val="20"/>
          <w:szCs w:val="20"/>
        </w:rPr>
        <w:t>to address key findings</w:t>
      </w:r>
      <w:r>
        <w:rPr>
          <w:sz w:val="20"/>
          <w:szCs w:val="20"/>
        </w:rPr>
        <w:t xml:space="preserve"> </w:t>
      </w:r>
      <w:r>
        <w:rPr>
          <w:sz w:val="20"/>
          <w:szCs w:val="20"/>
        </w:rPr>
        <w:t xml:space="preserve">and </w:t>
      </w:r>
      <w:r>
        <w:rPr>
          <w:sz w:val="20"/>
          <w:szCs w:val="20"/>
        </w:rPr>
        <w:t xml:space="preserve">improve upon these results through faculty development, </w:t>
      </w:r>
      <w:r w:rsidRPr="00150B9C">
        <w:rPr>
          <w:sz w:val="20"/>
          <w:szCs w:val="20"/>
        </w:rPr>
        <w:t>pedagogical refi</w:t>
      </w:r>
      <w:r>
        <w:rPr>
          <w:sz w:val="20"/>
          <w:szCs w:val="20"/>
        </w:rPr>
        <w:t>nement, and curricular revision.</w:t>
      </w:r>
      <w:r>
        <w:rPr>
          <w:sz w:val="20"/>
          <w:szCs w:val="20"/>
        </w:rPr>
        <w:t xml:space="preserve"> </w:t>
      </w:r>
      <w:r>
        <w:rPr>
          <w:rFonts w:cs="Garamond"/>
          <w:sz w:val="20"/>
          <w:szCs w:val="20"/>
        </w:rPr>
        <w:t xml:space="preserve">Assessment results will thus inform </w:t>
      </w:r>
      <w:r w:rsidR="00152437" w:rsidRPr="00152437">
        <w:rPr>
          <w:rFonts w:cs="Garamond"/>
          <w:sz w:val="20"/>
          <w:szCs w:val="20"/>
        </w:rPr>
        <w:t xml:space="preserve">improvements to the new General Education program that positively impact student learning. These and future results should also be used to identify areas of strength among our students, and to adopt a positive approach that seeks to build on our collective strengths as educators. We hope that, as the University community has an opportunity to review </w:t>
      </w:r>
      <w:r w:rsidR="000B1A05">
        <w:rPr>
          <w:rFonts w:cs="Garamond"/>
          <w:sz w:val="20"/>
          <w:szCs w:val="20"/>
        </w:rPr>
        <w:t>these results</w:t>
      </w:r>
      <w:bookmarkStart w:id="0" w:name="_GoBack"/>
      <w:bookmarkEnd w:id="0"/>
      <w:r w:rsidR="00152437" w:rsidRPr="00152437">
        <w:rPr>
          <w:rFonts w:cs="Garamond"/>
          <w:sz w:val="20"/>
          <w:szCs w:val="20"/>
        </w:rPr>
        <w:t>, more people will become involved in a discussion about teaching and learning at NJCU, in the General Education program and beyond. What works? How can we grow and improve? How c</w:t>
      </w:r>
      <w:r w:rsidR="00EE0440">
        <w:rPr>
          <w:rFonts w:cs="Garamond"/>
          <w:sz w:val="20"/>
          <w:szCs w:val="20"/>
        </w:rPr>
        <w:t xml:space="preserve">an we best help our students </w:t>
      </w:r>
      <w:r w:rsidR="00152437" w:rsidRPr="00152437">
        <w:rPr>
          <w:rFonts w:cs="Garamond"/>
          <w:sz w:val="20"/>
          <w:szCs w:val="20"/>
        </w:rPr>
        <w:t xml:space="preserve">do the same? </w:t>
      </w:r>
    </w:p>
    <w:p w14:paraId="57157DAE" w14:textId="77777777" w:rsidR="00EE0440" w:rsidRDefault="00EE0440" w:rsidP="00152437">
      <w:pPr>
        <w:widowControl w:val="0"/>
        <w:autoSpaceDE w:val="0"/>
        <w:autoSpaceDN w:val="0"/>
        <w:adjustRightInd w:val="0"/>
        <w:rPr>
          <w:rFonts w:cs="Garamond"/>
          <w:sz w:val="20"/>
          <w:szCs w:val="20"/>
        </w:rPr>
      </w:pPr>
    </w:p>
    <w:p w14:paraId="5DFF69E2" w14:textId="300205FC" w:rsidR="00794F88" w:rsidRDefault="00152437" w:rsidP="00CD6573">
      <w:pPr>
        <w:widowControl w:val="0"/>
        <w:autoSpaceDE w:val="0"/>
        <w:autoSpaceDN w:val="0"/>
        <w:adjustRightInd w:val="0"/>
        <w:rPr>
          <w:sz w:val="20"/>
          <w:szCs w:val="20"/>
        </w:rPr>
      </w:pPr>
      <w:r w:rsidRPr="00152437">
        <w:rPr>
          <w:rFonts w:cs="Garamond"/>
          <w:sz w:val="20"/>
          <w:szCs w:val="20"/>
        </w:rPr>
        <w:t xml:space="preserve">Ongoing assessment of student learning can become a collective process of self-discovery in which our own learning directly benefits our students. </w:t>
      </w:r>
      <w:r w:rsidR="00D60ABC">
        <w:rPr>
          <w:rFonts w:cs="Garamond"/>
          <w:sz w:val="20"/>
          <w:szCs w:val="20"/>
        </w:rPr>
        <w:t xml:space="preserve">In this regard, it </w:t>
      </w:r>
      <w:r w:rsidR="007F3301">
        <w:rPr>
          <w:rFonts w:cs="Garamond"/>
          <w:sz w:val="20"/>
          <w:szCs w:val="20"/>
        </w:rPr>
        <w:t>c</w:t>
      </w:r>
      <w:r w:rsidR="003959DE">
        <w:rPr>
          <w:rFonts w:cs="Garamond"/>
          <w:sz w:val="20"/>
          <w:szCs w:val="20"/>
        </w:rPr>
        <w:t>ould</w:t>
      </w:r>
      <w:r w:rsidR="00567BAB">
        <w:rPr>
          <w:rFonts w:cs="Garamond"/>
          <w:sz w:val="20"/>
          <w:szCs w:val="20"/>
        </w:rPr>
        <w:t xml:space="preserve"> be </w:t>
      </w:r>
      <w:r w:rsidR="00D60ABC">
        <w:rPr>
          <w:rFonts w:cs="Garamond"/>
          <w:sz w:val="20"/>
          <w:szCs w:val="20"/>
        </w:rPr>
        <w:t xml:space="preserve">especially helpful </w:t>
      </w:r>
      <w:r w:rsidR="00567BAB">
        <w:rPr>
          <w:rFonts w:cs="Garamond"/>
          <w:sz w:val="20"/>
          <w:szCs w:val="20"/>
        </w:rPr>
        <w:t xml:space="preserve">to increase Gen Ed faculty participation in </w:t>
      </w:r>
      <w:r w:rsidR="00264386">
        <w:rPr>
          <w:rFonts w:cs="Garamond"/>
          <w:sz w:val="20"/>
          <w:szCs w:val="20"/>
        </w:rPr>
        <w:t xml:space="preserve">programmatic </w:t>
      </w:r>
      <w:r w:rsidR="00567BAB">
        <w:rPr>
          <w:rFonts w:cs="Garamond"/>
          <w:sz w:val="20"/>
          <w:szCs w:val="20"/>
        </w:rPr>
        <w:t xml:space="preserve">assessment activities. </w:t>
      </w:r>
      <w:r w:rsidRPr="00152437">
        <w:rPr>
          <w:rFonts w:cs="Garamond"/>
          <w:sz w:val="20"/>
          <w:szCs w:val="20"/>
        </w:rPr>
        <w:t>We hope you will join us in this endeavor.</w:t>
      </w:r>
      <w:r w:rsidR="00CD6573" w:rsidRPr="00150B9C">
        <w:rPr>
          <w:sz w:val="20"/>
          <w:szCs w:val="20"/>
        </w:rPr>
        <w:t xml:space="preserve"> </w:t>
      </w:r>
    </w:p>
    <w:p w14:paraId="2026555C" w14:textId="77777777" w:rsidR="00494DBD" w:rsidRDefault="00494DBD" w:rsidP="00CD6573">
      <w:pPr>
        <w:widowControl w:val="0"/>
        <w:autoSpaceDE w:val="0"/>
        <w:autoSpaceDN w:val="0"/>
        <w:adjustRightInd w:val="0"/>
        <w:rPr>
          <w:sz w:val="20"/>
          <w:szCs w:val="20"/>
        </w:rPr>
      </w:pPr>
    </w:p>
    <w:p w14:paraId="79A58096" w14:textId="60E7B03D" w:rsidR="00494DBD" w:rsidRDefault="00494DBD" w:rsidP="00CD6573">
      <w:pPr>
        <w:widowControl w:val="0"/>
        <w:autoSpaceDE w:val="0"/>
        <w:autoSpaceDN w:val="0"/>
        <w:adjustRightInd w:val="0"/>
        <w:rPr>
          <w:sz w:val="20"/>
          <w:szCs w:val="20"/>
        </w:rPr>
      </w:pPr>
      <w:r>
        <w:rPr>
          <w:sz w:val="20"/>
          <w:szCs w:val="20"/>
        </w:rPr>
        <w:t>Joshua Fausty</w:t>
      </w:r>
      <w:r w:rsidR="005D6B69">
        <w:rPr>
          <w:sz w:val="20"/>
          <w:szCs w:val="20"/>
        </w:rPr>
        <w:t>, Ph.D.</w:t>
      </w:r>
    </w:p>
    <w:p w14:paraId="00533EA0" w14:textId="14963B06" w:rsidR="00EA2F3A" w:rsidRDefault="00EA2F3A" w:rsidP="00CD6573">
      <w:pPr>
        <w:widowControl w:val="0"/>
        <w:autoSpaceDE w:val="0"/>
        <w:autoSpaceDN w:val="0"/>
        <w:adjustRightInd w:val="0"/>
        <w:rPr>
          <w:sz w:val="20"/>
          <w:szCs w:val="20"/>
        </w:rPr>
      </w:pPr>
      <w:r>
        <w:rPr>
          <w:sz w:val="20"/>
          <w:szCs w:val="20"/>
        </w:rPr>
        <w:t>Professor of English</w:t>
      </w:r>
    </w:p>
    <w:p w14:paraId="491EAC3F" w14:textId="38C2BDE3" w:rsidR="00FD629F" w:rsidRDefault="00494DBD" w:rsidP="00CD6573">
      <w:pPr>
        <w:widowControl w:val="0"/>
        <w:autoSpaceDE w:val="0"/>
        <w:autoSpaceDN w:val="0"/>
        <w:adjustRightInd w:val="0"/>
        <w:rPr>
          <w:sz w:val="20"/>
          <w:szCs w:val="20"/>
        </w:rPr>
      </w:pPr>
      <w:r>
        <w:rPr>
          <w:sz w:val="20"/>
          <w:szCs w:val="20"/>
        </w:rPr>
        <w:t>Director of General Education</w:t>
      </w:r>
    </w:p>
    <w:p w14:paraId="5A815FAA" w14:textId="4F3A19A1" w:rsidR="00043768" w:rsidRDefault="007E75BE" w:rsidP="00CD6573">
      <w:pPr>
        <w:widowControl w:val="0"/>
        <w:autoSpaceDE w:val="0"/>
        <w:autoSpaceDN w:val="0"/>
        <w:adjustRightInd w:val="0"/>
        <w:rPr>
          <w:sz w:val="20"/>
          <w:szCs w:val="20"/>
        </w:rPr>
      </w:pPr>
      <w:hyperlink r:id="rId7" w:history="1">
        <w:r w:rsidR="00043768" w:rsidRPr="007F2166">
          <w:rPr>
            <w:rStyle w:val="Hyperlink"/>
            <w:sz w:val="20"/>
            <w:szCs w:val="20"/>
          </w:rPr>
          <w:t>jfausty@njcu.edu</w:t>
        </w:r>
      </w:hyperlink>
      <w:r w:rsidR="00043768">
        <w:rPr>
          <w:sz w:val="20"/>
          <w:szCs w:val="20"/>
        </w:rPr>
        <w:t xml:space="preserve"> </w:t>
      </w:r>
    </w:p>
    <w:p w14:paraId="67E020A9" w14:textId="77777777" w:rsidR="002350AA" w:rsidRDefault="002350AA" w:rsidP="00CD6573">
      <w:pPr>
        <w:widowControl w:val="0"/>
        <w:autoSpaceDE w:val="0"/>
        <w:autoSpaceDN w:val="0"/>
        <w:adjustRightInd w:val="0"/>
        <w:rPr>
          <w:sz w:val="20"/>
          <w:szCs w:val="20"/>
        </w:rPr>
      </w:pPr>
    </w:p>
    <w:p w14:paraId="1C51E7B0" w14:textId="77777777" w:rsidR="002350AA" w:rsidRDefault="002350AA" w:rsidP="00CD6573">
      <w:pPr>
        <w:widowControl w:val="0"/>
        <w:autoSpaceDE w:val="0"/>
        <w:autoSpaceDN w:val="0"/>
        <w:adjustRightInd w:val="0"/>
        <w:rPr>
          <w:sz w:val="20"/>
          <w:szCs w:val="20"/>
        </w:rPr>
      </w:pPr>
    </w:p>
    <w:p w14:paraId="51700063" w14:textId="2598F92F" w:rsidR="002350AA" w:rsidRDefault="002350AA" w:rsidP="002350AA">
      <w:pPr>
        <w:rPr>
          <w:sz w:val="20"/>
          <w:szCs w:val="20"/>
        </w:rPr>
      </w:pPr>
    </w:p>
    <w:p w14:paraId="0D31FAD2" w14:textId="77777777" w:rsidR="002350AA" w:rsidRPr="000F66F0" w:rsidRDefault="002350AA" w:rsidP="00CD6573">
      <w:pPr>
        <w:widowControl w:val="0"/>
        <w:autoSpaceDE w:val="0"/>
        <w:autoSpaceDN w:val="0"/>
        <w:adjustRightInd w:val="0"/>
        <w:rPr>
          <w:rFonts w:cs="Garamond"/>
          <w:sz w:val="20"/>
          <w:szCs w:val="20"/>
        </w:rPr>
      </w:pPr>
    </w:p>
    <w:sectPr w:rsidR="002350AA" w:rsidRPr="000F66F0" w:rsidSect="00216A2F">
      <w:headerReference w:type="even" r:id="rId8"/>
      <w:headerReference w:type="default" r:id="rId9"/>
      <w:footerReference w:type="even" r:id="rId10"/>
      <w:footerReference w:type="default" r:id="rId11"/>
      <w:headerReference w:type="first" r:id="rId12"/>
      <w:footerReference w:type="first" r:id="rId13"/>
      <w:pgSz w:w="12240" w:h="15840"/>
      <w:pgMar w:top="1008" w:right="1656" w:bottom="1440" w:left="165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E8DAF" w14:textId="77777777" w:rsidR="007E75BE" w:rsidRDefault="007E75BE" w:rsidP="00454495">
      <w:r>
        <w:separator/>
      </w:r>
    </w:p>
  </w:endnote>
  <w:endnote w:type="continuationSeparator" w:id="0">
    <w:p w14:paraId="7B91322C" w14:textId="77777777" w:rsidR="007E75BE" w:rsidRDefault="007E75BE" w:rsidP="0045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448C" w14:textId="77777777" w:rsidR="00AF7A39" w:rsidRDefault="00AF7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717D" w14:textId="77777777" w:rsidR="00AF7A39" w:rsidRDefault="00AF7A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9B84" w14:textId="77777777" w:rsidR="00AF7A39" w:rsidRDefault="00AF7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AFDDC" w14:textId="77777777" w:rsidR="007E75BE" w:rsidRDefault="007E75BE" w:rsidP="00454495">
      <w:r>
        <w:separator/>
      </w:r>
    </w:p>
  </w:footnote>
  <w:footnote w:type="continuationSeparator" w:id="0">
    <w:p w14:paraId="30FE0F95" w14:textId="77777777" w:rsidR="007E75BE" w:rsidRDefault="007E75BE" w:rsidP="00454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2397" w14:textId="77777777" w:rsidR="000E0365" w:rsidRDefault="000E0365" w:rsidP="007253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0F30D" w14:textId="77777777" w:rsidR="000E0365" w:rsidRDefault="000E0365" w:rsidP="0045449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A3712" w14:textId="77777777" w:rsidR="000E0365" w:rsidRPr="00B91F91" w:rsidRDefault="000E0365" w:rsidP="0072535A">
    <w:pPr>
      <w:pStyle w:val="Header"/>
      <w:framePr w:wrap="around" w:vAnchor="text" w:hAnchor="margin" w:xAlign="right" w:y="1"/>
      <w:rPr>
        <w:rStyle w:val="PageNumber"/>
        <w:sz w:val="20"/>
        <w:szCs w:val="20"/>
      </w:rPr>
    </w:pPr>
    <w:r w:rsidRPr="00B91F91">
      <w:rPr>
        <w:rStyle w:val="PageNumber"/>
        <w:sz w:val="20"/>
        <w:szCs w:val="20"/>
      </w:rPr>
      <w:fldChar w:fldCharType="begin"/>
    </w:r>
    <w:r w:rsidRPr="00B91F91">
      <w:rPr>
        <w:rStyle w:val="PageNumber"/>
        <w:sz w:val="20"/>
        <w:szCs w:val="20"/>
      </w:rPr>
      <w:instrText xml:space="preserve">PAGE  </w:instrText>
    </w:r>
    <w:r w:rsidRPr="00B91F91">
      <w:rPr>
        <w:rStyle w:val="PageNumber"/>
        <w:sz w:val="20"/>
        <w:szCs w:val="20"/>
      </w:rPr>
      <w:fldChar w:fldCharType="separate"/>
    </w:r>
    <w:r w:rsidR="000B1A05">
      <w:rPr>
        <w:rStyle w:val="PageNumber"/>
        <w:noProof/>
        <w:sz w:val="20"/>
        <w:szCs w:val="20"/>
      </w:rPr>
      <w:t>3</w:t>
    </w:r>
    <w:r w:rsidRPr="00B91F91">
      <w:rPr>
        <w:rStyle w:val="PageNumber"/>
        <w:sz w:val="20"/>
        <w:szCs w:val="20"/>
      </w:rPr>
      <w:fldChar w:fldCharType="end"/>
    </w:r>
  </w:p>
  <w:p w14:paraId="2B28DC5A" w14:textId="1F7D2420" w:rsidR="000E0365" w:rsidRDefault="000E0365" w:rsidP="00454495">
    <w:pPr>
      <w:pStyle w:val="Header"/>
      <w:ind w:right="360"/>
      <w:rPr>
        <w:sz w:val="20"/>
        <w:szCs w:val="20"/>
      </w:rPr>
    </w:pPr>
    <w:r w:rsidRPr="001A2C96">
      <w:rPr>
        <w:sz w:val="20"/>
        <w:szCs w:val="20"/>
      </w:rPr>
      <w:t>Summary of Fall 2015 Gen Ed</w:t>
    </w:r>
    <w:r w:rsidR="00AF7A39">
      <w:rPr>
        <w:sz w:val="20"/>
        <w:szCs w:val="20"/>
      </w:rPr>
      <w:t xml:space="preserve"> </w:t>
    </w:r>
    <w:r w:rsidRPr="001A2C96">
      <w:rPr>
        <w:sz w:val="20"/>
        <w:szCs w:val="20"/>
      </w:rPr>
      <w:t>Assessment Results</w:t>
    </w:r>
  </w:p>
  <w:p w14:paraId="0A69008B" w14:textId="77777777" w:rsidR="000E0365" w:rsidRPr="001A2C96" w:rsidRDefault="000E0365" w:rsidP="00454495">
    <w:pPr>
      <w:pStyle w:val="Header"/>
      <w:ind w:right="360"/>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C5FF3" w14:textId="77777777" w:rsidR="00AF7A39" w:rsidRDefault="00AF7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27"/>
    <w:rsid w:val="00010DFE"/>
    <w:rsid w:val="00011649"/>
    <w:rsid w:val="00025B75"/>
    <w:rsid w:val="00043768"/>
    <w:rsid w:val="00043CDB"/>
    <w:rsid w:val="00046299"/>
    <w:rsid w:val="00047130"/>
    <w:rsid w:val="00053137"/>
    <w:rsid w:val="0007042F"/>
    <w:rsid w:val="00072143"/>
    <w:rsid w:val="00074396"/>
    <w:rsid w:val="00085082"/>
    <w:rsid w:val="00091671"/>
    <w:rsid w:val="00096ACD"/>
    <w:rsid w:val="000A72BF"/>
    <w:rsid w:val="000B1925"/>
    <w:rsid w:val="000B1A05"/>
    <w:rsid w:val="000C7DCC"/>
    <w:rsid w:val="000D0F6F"/>
    <w:rsid w:val="000E0365"/>
    <w:rsid w:val="000E1D5E"/>
    <w:rsid w:val="000E349A"/>
    <w:rsid w:val="000E7E6A"/>
    <w:rsid w:val="000F0DE0"/>
    <w:rsid w:val="000F66F0"/>
    <w:rsid w:val="0011590C"/>
    <w:rsid w:val="00121E69"/>
    <w:rsid w:val="00135B7A"/>
    <w:rsid w:val="00140848"/>
    <w:rsid w:val="00150B9C"/>
    <w:rsid w:val="00152437"/>
    <w:rsid w:val="0016241B"/>
    <w:rsid w:val="00197452"/>
    <w:rsid w:val="001A2C96"/>
    <w:rsid w:val="001B4218"/>
    <w:rsid w:val="001C1600"/>
    <w:rsid w:val="001D023D"/>
    <w:rsid w:val="001E2224"/>
    <w:rsid w:val="001F29BA"/>
    <w:rsid w:val="001F785E"/>
    <w:rsid w:val="00203FBB"/>
    <w:rsid w:val="002136BB"/>
    <w:rsid w:val="00216A2F"/>
    <w:rsid w:val="0022067A"/>
    <w:rsid w:val="00233140"/>
    <w:rsid w:val="002350AA"/>
    <w:rsid w:val="002518AB"/>
    <w:rsid w:val="002533C6"/>
    <w:rsid w:val="00256C2F"/>
    <w:rsid w:val="002571C2"/>
    <w:rsid w:val="002625DC"/>
    <w:rsid w:val="00264386"/>
    <w:rsid w:val="00275E2B"/>
    <w:rsid w:val="00276707"/>
    <w:rsid w:val="002A1C1C"/>
    <w:rsid w:val="002A2476"/>
    <w:rsid w:val="002C24EC"/>
    <w:rsid w:val="002D76C1"/>
    <w:rsid w:val="002F64DD"/>
    <w:rsid w:val="00302408"/>
    <w:rsid w:val="00302510"/>
    <w:rsid w:val="00302EDD"/>
    <w:rsid w:val="003056AD"/>
    <w:rsid w:val="003276DA"/>
    <w:rsid w:val="00335684"/>
    <w:rsid w:val="00355625"/>
    <w:rsid w:val="00375D95"/>
    <w:rsid w:val="00380609"/>
    <w:rsid w:val="003959DE"/>
    <w:rsid w:val="003B7023"/>
    <w:rsid w:val="003C2B7E"/>
    <w:rsid w:val="003C7C9C"/>
    <w:rsid w:val="003E177C"/>
    <w:rsid w:val="004030F0"/>
    <w:rsid w:val="00405782"/>
    <w:rsid w:val="004128D5"/>
    <w:rsid w:val="0042026B"/>
    <w:rsid w:val="00420D8B"/>
    <w:rsid w:val="004326C2"/>
    <w:rsid w:val="00435044"/>
    <w:rsid w:val="0044051F"/>
    <w:rsid w:val="00447789"/>
    <w:rsid w:val="00450F60"/>
    <w:rsid w:val="00451F95"/>
    <w:rsid w:val="00454495"/>
    <w:rsid w:val="00462D8C"/>
    <w:rsid w:val="004731EA"/>
    <w:rsid w:val="004943A5"/>
    <w:rsid w:val="00494DBD"/>
    <w:rsid w:val="004A14C9"/>
    <w:rsid w:val="004A4508"/>
    <w:rsid w:val="004A5C3E"/>
    <w:rsid w:val="004C340B"/>
    <w:rsid w:val="004D1D0D"/>
    <w:rsid w:val="004D5A73"/>
    <w:rsid w:val="004E0B98"/>
    <w:rsid w:val="00522856"/>
    <w:rsid w:val="00531FD2"/>
    <w:rsid w:val="00533960"/>
    <w:rsid w:val="005361FC"/>
    <w:rsid w:val="005579CC"/>
    <w:rsid w:val="00567BAB"/>
    <w:rsid w:val="00587366"/>
    <w:rsid w:val="005A3E27"/>
    <w:rsid w:val="005A5667"/>
    <w:rsid w:val="005C59AA"/>
    <w:rsid w:val="005D6908"/>
    <w:rsid w:val="005D6B69"/>
    <w:rsid w:val="005E1CE4"/>
    <w:rsid w:val="005E551D"/>
    <w:rsid w:val="005F35C7"/>
    <w:rsid w:val="005F512C"/>
    <w:rsid w:val="006018BF"/>
    <w:rsid w:val="00604B3A"/>
    <w:rsid w:val="00610163"/>
    <w:rsid w:val="00617325"/>
    <w:rsid w:val="006179E4"/>
    <w:rsid w:val="006237C4"/>
    <w:rsid w:val="00640494"/>
    <w:rsid w:val="0065794C"/>
    <w:rsid w:val="006658D1"/>
    <w:rsid w:val="006A44FD"/>
    <w:rsid w:val="006A5F06"/>
    <w:rsid w:val="006B51C9"/>
    <w:rsid w:val="006F3522"/>
    <w:rsid w:val="00702DCD"/>
    <w:rsid w:val="00711D8B"/>
    <w:rsid w:val="00720A41"/>
    <w:rsid w:val="0072535A"/>
    <w:rsid w:val="00732033"/>
    <w:rsid w:val="00732B6B"/>
    <w:rsid w:val="00737699"/>
    <w:rsid w:val="00742F5A"/>
    <w:rsid w:val="007438D3"/>
    <w:rsid w:val="00751B73"/>
    <w:rsid w:val="00760487"/>
    <w:rsid w:val="00773E62"/>
    <w:rsid w:val="00777537"/>
    <w:rsid w:val="00783E95"/>
    <w:rsid w:val="00794F88"/>
    <w:rsid w:val="007A20D2"/>
    <w:rsid w:val="007D6233"/>
    <w:rsid w:val="007D7987"/>
    <w:rsid w:val="007E3F70"/>
    <w:rsid w:val="007E75BE"/>
    <w:rsid w:val="007F3301"/>
    <w:rsid w:val="0080364B"/>
    <w:rsid w:val="00816971"/>
    <w:rsid w:val="0082489A"/>
    <w:rsid w:val="00825A78"/>
    <w:rsid w:val="00831E9B"/>
    <w:rsid w:val="0083389F"/>
    <w:rsid w:val="00873A16"/>
    <w:rsid w:val="00881CC8"/>
    <w:rsid w:val="00892885"/>
    <w:rsid w:val="00894561"/>
    <w:rsid w:val="008A6DF8"/>
    <w:rsid w:val="008A7F17"/>
    <w:rsid w:val="008E16BF"/>
    <w:rsid w:val="008E3FBE"/>
    <w:rsid w:val="008F0DBF"/>
    <w:rsid w:val="008F243F"/>
    <w:rsid w:val="008F6E59"/>
    <w:rsid w:val="008F6E61"/>
    <w:rsid w:val="00905865"/>
    <w:rsid w:val="00915560"/>
    <w:rsid w:val="00917658"/>
    <w:rsid w:val="00951EE1"/>
    <w:rsid w:val="00954B49"/>
    <w:rsid w:val="00981799"/>
    <w:rsid w:val="009939FD"/>
    <w:rsid w:val="009C3A0E"/>
    <w:rsid w:val="009E38F3"/>
    <w:rsid w:val="00A02DDB"/>
    <w:rsid w:val="00A046E9"/>
    <w:rsid w:val="00A2212C"/>
    <w:rsid w:val="00A30F31"/>
    <w:rsid w:val="00A5154C"/>
    <w:rsid w:val="00AB36B7"/>
    <w:rsid w:val="00AD416D"/>
    <w:rsid w:val="00AD5C96"/>
    <w:rsid w:val="00AE1629"/>
    <w:rsid w:val="00AE1B6B"/>
    <w:rsid w:val="00AF2459"/>
    <w:rsid w:val="00AF7A39"/>
    <w:rsid w:val="00B02EAB"/>
    <w:rsid w:val="00B03F6D"/>
    <w:rsid w:val="00B13EFB"/>
    <w:rsid w:val="00B20583"/>
    <w:rsid w:val="00B24C9E"/>
    <w:rsid w:val="00B25296"/>
    <w:rsid w:val="00B40981"/>
    <w:rsid w:val="00B77C38"/>
    <w:rsid w:val="00B841A9"/>
    <w:rsid w:val="00B917FE"/>
    <w:rsid w:val="00B91F91"/>
    <w:rsid w:val="00BA3693"/>
    <w:rsid w:val="00BB28C4"/>
    <w:rsid w:val="00BB5108"/>
    <w:rsid w:val="00BB70E9"/>
    <w:rsid w:val="00BC1312"/>
    <w:rsid w:val="00BC4D3E"/>
    <w:rsid w:val="00BD35EC"/>
    <w:rsid w:val="00BE0C13"/>
    <w:rsid w:val="00BF796B"/>
    <w:rsid w:val="00C204AF"/>
    <w:rsid w:val="00C21F1E"/>
    <w:rsid w:val="00C32831"/>
    <w:rsid w:val="00C464AF"/>
    <w:rsid w:val="00C55041"/>
    <w:rsid w:val="00C74F31"/>
    <w:rsid w:val="00C77868"/>
    <w:rsid w:val="00C8228E"/>
    <w:rsid w:val="00C823F6"/>
    <w:rsid w:val="00C84633"/>
    <w:rsid w:val="00C948C9"/>
    <w:rsid w:val="00C9548C"/>
    <w:rsid w:val="00C965BB"/>
    <w:rsid w:val="00CA5448"/>
    <w:rsid w:val="00CC6302"/>
    <w:rsid w:val="00CD5A69"/>
    <w:rsid w:val="00CD6573"/>
    <w:rsid w:val="00CE4ECC"/>
    <w:rsid w:val="00CE5655"/>
    <w:rsid w:val="00CF4852"/>
    <w:rsid w:val="00D11351"/>
    <w:rsid w:val="00D13ED5"/>
    <w:rsid w:val="00D47A5D"/>
    <w:rsid w:val="00D6034D"/>
    <w:rsid w:val="00D60ABC"/>
    <w:rsid w:val="00D66DD6"/>
    <w:rsid w:val="00D8453C"/>
    <w:rsid w:val="00DA6ACA"/>
    <w:rsid w:val="00DC3C3B"/>
    <w:rsid w:val="00DD0EAB"/>
    <w:rsid w:val="00DE0753"/>
    <w:rsid w:val="00DF3880"/>
    <w:rsid w:val="00E01AD8"/>
    <w:rsid w:val="00E1770C"/>
    <w:rsid w:val="00E26051"/>
    <w:rsid w:val="00E357D4"/>
    <w:rsid w:val="00E454E4"/>
    <w:rsid w:val="00E51729"/>
    <w:rsid w:val="00E63CE1"/>
    <w:rsid w:val="00E64430"/>
    <w:rsid w:val="00E8152F"/>
    <w:rsid w:val="00E8395A"/>
    <w:rsid w:val="00EA2F3A"/>
    <w:rsid w:val="00EA3ADC"/>
    <w:rsid w:val="00EA4DD1"/>
    <w:rsid w:val="00EA69E7"/>
    <w:rsid w:val="00EC76BC"/>
    <w:rsid w:val="00EE0440"/>
    <w:rsid w:val="00EF1277"/>
    <w:rsid w:val="00EF66D5"/>
    <w:rsid w:val="00EF776B"/>
    <w:rsid w:val="00F0617C"/>
    <w:rsid w:val="00F107A7"/>
    <w:rsid w:val="00F11C19"/>
    <w:rsid w:val="00F45A7A"/>
    <w:rsid w:val="00F547D3"/>
    <w:rsid w:val="00F54CFF"/>
    <w:rsid w:val="00F916BB"/>
    <w:rsid w:val="00FA564E"/>
    <w:rsid w:val="00FC0163"/>
    <w:rsid w:val="00FD629F"/>
    <w:rsid w:val="00FF7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FA60B"/>
  <w14:defaultImageDpi w14:val="300"/>
  <w15:docId w15:val="{CB025103-2D61-4CCB-895A-AC087526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8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856"/>
    <w:rPr>
      <w:rFonts w:ascii="Lucida Grande" w:eastAsiaTheme="minorHAnsi" w:hAnsi="Lucida Grande" w:cs="Lucida Grande"/>
      <w:sz w:val="18"/>
      <w:szCs w:val="18"/>
    </w:rPr>
  </w:style>
  <w:style w:type="character" w:styleId="Hyperlink">
    <w:name w:val="Hyperlink"/>
    <w:basedOn w:val="DefaultParagraphFont"/>
    <w:uiPriority w:val="99"/>
    <w:unhideWhenUsed/>
    <w:rsid w:val="00FA564E"/>
    <w:rPr>
      <w:color w:val="0000FF" w:themeColor="hyperlink"/>
      <w:u w:val="single"/>
    </w:rPr>
  </w:style>
  <w:style w:type="paragraph" w:styleId="Header">
    <w:name w:val="header"/>
    <w:basedOn w:val="Normal"/>
    <w:link w:val="HeaderChar"/>
    <w:uiPriority w:val="99"/>
    <w:unhideWhenUsed/>
    <w:rsid w:val="00454495"/>
    <w:pPr>
      <w:tabs>
        <w:tab w:val="center" w:pos="4320"/>
        <w:tab w:val="right" w:pos="8640"/>
      </w:tabs>
    </w:pPr>
  </w:style>
  <w:style w:type="character" w:customStyle="1" w:styleId="HeaderChar">
    <w:name w:val="Header Char"/>
    <w:basedOn w:val="DefaultParagraphFont"/>
    <w:link w:val="Header"/>
    <w:uiPriority w:val="99"/>
    <w:rsid w:val="00454495"/>
    <w:rPr>
      <w:rFonts w:eastAsiaTheme="minorHAnsi"/>
      <w:sz w:val="22"/>
      <w:szCs w:val="22"/>
    </w:rPr>
  </w:style>
  <w:style w:type="character" w:styleId="PageNumber">
    <w:name w:val="page number"/>
    <w:basedOn w:val="DefaultParagraphFont"/>
    <w:uiPriority w:val="99"/>
    <w:semiHidden/>
    <w:unhideWhenUsed/>
    <w:rsid w:val="00454495"/>
  </w:style>
  <w:style w:type="paragraph" w:styleId="Footer">
    <w:name w:val="footer"/>
    <w:basedOn w:val="Normal"/>
    <w:link w:val="FooterChar"/>
    <w:uiPriority w:val="99"/>
    <w:unhideWhenUsed/>
    <w:rsid w:val="00B91F91"/>
    <w:pPr>
      <w:tabs>
        <w:tab w:val="center" w:pos="4320"/>
        <w:tab w:val="right" w:pos="8640"/>
      </w:tabs>
    </w:pPr>
  </w:style>
  <w:style w:type="character" w:customStyle="1" w:styleId="FooterChar">
    <w:name w:val="Footer Char"/>
    <w:basedOn w:val="DefaultParagraphFont"/>
    <w:link w:val="Footer"/>
    <w:uiPriority w:val="99"/>
    <w:rsid w:val="00B91F91"/>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jfausty@njcu.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jcu.edu/gene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2318</Words>
  <Characters>13218</Characters>
  <Application>Microsoft Office Word</Application>
  <DocSecurity>0</DocSecurity>
  <Lines>110</Lines>
  <Paragraphs>31</Paragraphs>
  <ScaleCrop>false</ScaleCrop>
  <Company/>
  <LinksUpToDate>false</LinksUpToDate>
  <CharactersWithSpaces>15505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Fausty</dc:creator>
  <cp:keywords/>
  <dc:description/>
  <cp:lastModifiedBy>Joshua Fausty</cp:lastModifiedBy>
  <cp:revision>70</cp:revision>
  <dcterms:created xsi:type="dcterms:W3CDTF">2016-04-25T00:22:00Z</dcterms:created>
  <dcterms:modified xsi:type="dcterms:W3CDTF">2016-04-26T17:58:00Z</dcterms:modified>
</cp:coreProperties>
</file>